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7A5759" w14:textId="1B814812" w:rsidR="00491A95" w:rsidRPr="00447088" w:rsidRDefault="00491A95" w:rsidP="00BF0F31">
      <w:pPr>
        <w:tabs>
          <w:tab w:val="center" w:pos="4536"/>
          <w:tab w:val="right" w:pos="9356"/>
          <w:tab w:val="right" w:pos="9639"/>
        </w:tabs>
        <w:spacing w:after="0"/>
        <w:rPr>
          <w:rFonts w:ascii="Arial" w:eastAsia="Arial" w:hAnsi="Arial" w:cs="Arial"/>
          <w:b/>
          <w:sz w:val="24"/>
          <w:szCs w:val="24"/>
        </w:rPr>
      </w:pPr>
      <w:r w:rsidRPr="00447088">
        <w:rPr>
          <w:rFonts w:ascii="Arial" w:eastAsia="Arial" w:hAnsi="Arial" w:cs="Arial"/>
          <w:b/>
          <w:sz w:val="24"/>
          <w:szCs w:val="24"/>
        </w:rPr>
        <w:t>3GPP TSG RAN WG1 Meeting #94</w:t>
      </w:r>
      <w:r w:rsidR="00185774">
        <w:rPr>
          <w:rFonts w:ascii="Arial" w:eastAsia="Arial" w:hAnsi="Arial" w:cs="Arial"/>
          <w:b/>
          <w:sz w:val="24"/>
          <w:szCs w:val="24"/>
        </w:rPr>
        <w:t>bis</w:t>
      </w:r>
      <w:r w:rsidRPr="00447088">
        <w:rPr>
          <w:rFonts w:ascii="Arial" w:eastAsia="Arial" w:hAnsi="Arial" w:cs="Arial"/>
          <w:b/>
          <w:sz w:val="24"/>
          <w:szCs w:val="24"/>
        </w:rPr>
        <w:t xml:space="preserve">               </w:t>
      </w:r>
      <w:r>
        <w:rPr>
          <w:rFonts w:ascii="Arial" w:hAnsi="Arial" w:cs="Arial"/>
          <w:b/>
          <w:bCs/>
          <w:sz w:val="24"/>
        </w:rPr>
        <w:tab/>
      </w:r>
      <w:r w:rsidRPr="00447088">
        <w:rPr>
          <w:rFonts w:ascii="Arial" w:eastAsia="Arial" w:hAnsi="Arial" w:cs="Arial"/>
          <w:b/>
          <w:sz w:val="24"/>
          <w:szCs w:val="24"/>
        </w:rPr>
        <w:t>R1-18</w:t>
      </w:r>
      <w:r w:rsidR="00185774">
        <w:rPr>
          <w:rFonts w:ascii="Arial" w:eastAsia="Arial" w:hAnsi="Arial" w:cs="Arial"/>
          <w:b/>
          <w:sz w:val="24"/>
          <w:szCs w:val="24"/>
        </w:rPr>
        <w:t>1</w:t>
      </w:r>
      <w:r w:rsidR="00291D1B">
        <w:rPr>
          <w:rFonts w:ascii="Arial" w:eastAsia="Arial" w:hAnsi="Arial" w:cs="Arial"/>
          <w:b/>
          <w:sz w:val="24"/>
          <w:szCs w:val="24"/>
        </w:rPr>
        <w:t>0614</w:t>
      </w:r>
    </w:p>
    <w:p w14:paraId="2175D4D7" w14:textId="3C726401" w:rsidR="00491A95" w:rsidRDefault="00185774" w:rsidP="00491A95">
      <w:pPr>
        <w:pStyle w:val="Header"/>
        <w:rPr>
          <w:rFonts w:cs="Arial"/>
          <w:bCs/>
          <w:sz w:val="24"/>
        </w:rPr>
      </w:pPr>
      <w:r>
        <w:rPr>
          <w:rFonts w:cs="Arial"/>
          <w:bCs/>
          <w:sz w:val="24"/>
        </w:rPr>
        <w:t>Chengdu, P.R. China, October 8 – 12</w:t>
      </w:r>
      <w:r w:rsidR="00491A95" w:rsidRPr="00032007">
        <w:rPr>
          <w:rFonts w:cs="Arial"/>
          <w:bCs/>
          <w:sz w:val="24"/>
        </w:rPr>
        <w:t>, 2018</w:t>
      </w:r>
    </w:p>
    <w:p w14:paraId="616C6008" w14:textId="77777777" w:rsidR="005369BB" w:rsidRPr="00310DA6" w:rsidRDefault="005369BB">
      <w:pPr>
        <w:pStyle w:val="CRCoverPage"/>
        <w:rPr>
          <w:rFonts w:cs="Arial"/>
          <w:b/>
          <w:bCs/>
          <w:sz w:val="24"/>
          <w:lang w:val="en-US"/>
        </w:rPr>
      </w:pPr>
    </w:p>
    <w:p w14:paraId="08AC4AD5" w14:textId="1615D80F" w:rsidR="0034111C" w:rsidRPr="00447088" w:rsidRDefault="0034111C">
      <w:pPr>
        <w:pStyle w:val="CRCoverPage"/>
        <w:rPr>
          <w:rFonts w:eastAsia="Arial" w:cs="Arial"/>
          <w:b/>
          <w:sz w:val="24"/>
          <w:szCs w:val="24"/>
          <w:lang w:val="en-US" w:eastAsia="ja-JP"/>
        </w:rPr>
      </w:pPr>
      <w:r w:rsidRPr="00BF0F31">
        <w:rPr>
          <w:b/>
          <w:sz w:val="24"/>
          <w:szCs w:val="24"/>
        </w:rPr>
        <w:t>Agenda item:</w:t>
      </w:r>
      <w:r w:rsidRPr="00195EC5">
        <w:rPr>
          <w:rFonts w:cs="Arial"/>
          <w:b/>
          <w:bCs/>
          <w:sz w:val="24"/>
        </w:rPr>
        <w:tab/>
      </w:r>
      <w:r w:rsidRPr="00195EC5">
        <w:rPr>
          <w:rFonts w:cs="Arial"/>
          <w:b/>
          <w:bCs/>
          <w:sz w:val="24"/>
        </w:rPr>
        <w:tab/>
      </w:r>
      <w:r w:rsidR="00AA27F5" w:rsidRPr="00447088">
        <w:rPr>
          <w:b/>
          <w:sz w:val="24"/>
          <w:szCs w:val="24"/>
        </w:rPr>
        <w:t>7</w:t>
      </w:r>
      <w:r w:rsidR="00256B73" w:rsidRPr="00447088">
        <w:rPr>
          <w:rFonts w:ascii="Arial,SimSun" w:eastAsia="Arial,SimSun" w:hAnsi="Arial,SimSun" w:cs="Arial,SimSun"/>
          <w:b/>
          <w:sz w:val="24"/>
          <w:szCs w:val="24"/>
        </w:rPr>
        <w:t>.</w:t>
      </w:r>
      <w:r w:rsidR="000C48B7" w:rsidRPr="00447088">
        <w:rPr>
          <w:b/>
          <w:sz w:val="24"/>
          <w:szCs w:val="24"/>
        </w:rPr>
        <w:t>2.2</w:t>
      </w:r>
      <w:r w:rsidR="006B10EA" w:rsidRPr="00447088">
        <w:rPr>
          <w:rFonts w:ascii="Arial,SimSun" w:eastAsia="Arial,SimSun" w:hAnsi="Arial,SimSun" w:cs="Arial,SimSun"/>
          <w:b/>
          <w:sz w:val="24"/>
          <w:szCs w:val="24"/>
        </w:rPr>
        <w:t>.</w:t>
      </w:r>
      <w:r w:rsidR="006B16E5" w:rsidRPr="00447088">
        <w:rPr>
          <w:b/>
          <w:sz w:val="24"/>
          <w:szCs w:val="24"/>
        </w:rPr>
        <w:t>3.2</w:t>
      </w:r>
    </w:p>
    <w:p w14:paraId="54BF8606" w14:textId="6C255ADC" w:rsidR="00E128F2" w:rsidRPr="00447088" w:rsidRDefault="0034111C" w:rsidP="00BF0F31">
      <w:pPr>
        <w:tabs>
          <w:tab w:val="left" w:pos="1985"/>
        </w:tabs>
        <w:spacing w:after="120"/>
        <w:ind w:left="1985" w:hanging="1985"/>
        <w:rPr>
          <w:rFonts w:ascii="Arial" w:eastAsia="Arial" w:hAnsi="Arial" w:cs="Arial"/>
          <w:b/>
          <w:sz w:val="24"/>
          <w:szCs w:val="24"/>
          <w:lang w:val="en-US"/>
        </w:rPr>
      </w:pPr>
      <w:r w:rsidRPr="00447088">
        <w:rPr>
          <w:rFonts w:ascii="Arial" w:eastAsia="Arial" w:hAnsi="Arial" w:cs="Arial"/>
          <w:b/>
          <w:sz w:val="24"/>
          <w:szCs w:val="24"/>
        </w:rPr>
        <w:t>Source:</w:t>
      </w:r>
      <w:r w:rsidRPr="0016316A">
        <w:rPr>
          <w:rFonts w:ascii="Arial" w:hAnsi="Arial" w:cs="Arial"/>
          <w:b/>
          <w:bCs/>
          <w:sz w:val="24"/>
        </w:rPr>
        <w:tab/>
      </w:r>
      <w:r w:rsidR="00013455" w:rsidRPr="00447088">
        <w:rPr>
          <w:rFonts w:ascii="Arial" w:eastAsia="Arial" w:hAnsi="Arial" w:cs="Arial"/>
          <w:b/>
          <w:sz w:val="24"/>
          <w:szCs w:val="24"/>
        </w:rPr>
        <w:t xml:space="preserve">Nokia, </w:t>
      </w:r>
      <w:r w:rsidR="00B22CD3" w:rsidRPr="00447088">
        <w:rPr>
          <w:rFonts w:ascii="Arial" w:eastAsia="Arial" w:hAnsi="Arial" w:cs="Arial"/>
          <w:b/>
          <w:sz w:val="24"/>
          <w:szCs w:val="24"/>
        </w:rPr>
        <w:t xml:space="preserve">Nokia </w:t>
      </w:r>
      <w:r w:rsidR="00013455" w:rsidRPr="00447088">
        <w:rPr>
          <w:rFonts w:ascii="Arial" w:eastAsia="Arial" w:hAnsi="Arial" w:cs="Arial"/>
          <w:b/>
          <w:sz w:val="24"/>
          <w:szCs w:val="24"/>
        </w:rPr>
        <w:t>Shanghai Bell</w:t>
      </w:r>
    </w:p>
    <w:p w14:paraId="52857A4E" w14:textId="133D7EED" w:rsidR="0034111C" w:rsidRPr="00447088" w:rsidRDefault="0034111C" w:rsidP="17124F94">
      <w:pPr>
        <w:ind w:left="1985" w:hanging="1985"/>
        <w:rPr>
          <w:rFonts w:ascii="Arial" w:eastAsia="Arial" w:hAnsi="Arial" w:cs="Arial"/>
          <w:b/>
          <w:sz w:val="24"/>
          <w:szCs w:val="24"/>
        </w:rPr>
      </w:pPr>
      <w:r w:rsidRPr="00447088">
        <w:rPr>
          <w:rFonts w:ascii="Arial" w:eastAsia="Arial" w:hAnsi="Arial" w:cs="Arial"/>
          <w:b/>
          <w:sz w:val="24"/>
          <w:szCs w:val="24"/>
        </w:rPr>
        <w:t>Title:</w:t>
      </w:r>
      <w:r w:rsidRPr="0016316A">
        <w:rPr>
          <w:rFonts w:ascii="Arial" w:hAnsi="Arial" w:cs="Arial"/>
          <w:b/>
          <w:bCs/>
          <w:sz w:val="24"/>
        </w:rPr>
        <w:tab/>
      </w:r>
      <w:r w:rsidR="006B16E5" w:rsidRPr="00447088">
        <w:rPr>
          <w:rFonts w:ascii="Arial" w:eastAsia="Arial" w:hAnsi="Arial" w:cs="Arial"/>
          <w:b/>
          <w:sz w:val="24"/>
          <w:szCs w:val="24"/>
        </w:rPr>
        <w:t xml:space="preserve">On uplink signal and channel structures for NR-U </w:t>
      </w:r>
    </w:p>
    <w:p w14:paraId="65B1F247" w14:textId="77777777" w:rsidR="0034111C" w:rsidRPr="00447088" w:rsidRDefault="0034111C">
      <w:pPr>
        <w:rPr>
          <w:rFonts w:ascii="Arial" w:eastAsia="Arial" w:hAnsi="Arial" w:cs="Arial"/>
          <w:b/>
          <w:sz w:val="24"/>
          <w:szCs w:val="24"/>
        </w:rPr>
      </w:pPr>
      <w:r w:rsidRPr="00447088">
        <w:rPr>
          <w:rFonts w:ascii="Arial" w:eastAsia="Arial" w:hAnsi="Arial" w:cs="Arial"/>
          <w:b/>
          <w:sz w:val="24"/>
          <w:szCs w:val="24"/>
        </w:rPr>
        <w:t>Document for:</w:t>
      </w:r>
      <w:r w:rsidRPr="0016316A">
        <w:rPr>
          <w:rFonts w:ascii="Arial" w:hAnsi="Arial" w:cs="Arial"/>
          <w:b/>
          <w:bCs/>
          <w:sz w:val="24"/>
        </w:rPr>
        <w:tab/>
      </w:r>
      <w:r w:rsidRPr="0016316A">
        <w:rPr>
          <w:rFonts w:ascii="Arial" w:hAnsi="Arial" w:cs="Arial"/>
          <w:b/>
          <w:bCs/>
          <w:sz w:val="24"/>
        </w:rPr>
        <w:tab/>
      </w:r>
      <w:r w:rsidRPr="00447088">
        <w:rPr>
          <w:rFonts w:ascii="Arial" w:eastAsia="Arial" w:hAnsi="Arial" w:cs="Arial"/>
          <w:b/>
          <w:sz w:val="24"/>
          <w:szCs w:val="24"/>
        </w:rPr>
        <w:t>Discussion and Decision</w:t>
      </w:r>
    </w:p>
    <w:p w14:paraId="4EB1BC54" w14:textId="5D2888C9" w:rsidR="00F76410" w:rsidRPr="00F76410" w:rsidRDefault="0034111C" w:rsidP="00DF1371">
      <w:pPr>
        <w:pStyle w:val="Heading1"/>
      </w:pPr>
      <w:r w:rsidRPr="0016316A">
        <w:t>1</w:t>
      </w:r>
      <w:r w:rsidRPr="0016316A">
        <w:tab/>
      </w:r>
      <w:r w:rsidR="00EE7FA7" w:rsidRPr="0016316A">
        <w:t>Introduction</w:t>
      </w:r>
    </w:p>
    <w:p w14:paraId="3B2B06A8" w14:textId="4FA9C4DE" w:rsidR="0010040C" w:rsidRPr="00447088" w:rsidRDefault="1CEFF1BD" w:rsidP="00DF1371">
      <w:pPr>
        <w:spacing w:after="120"/>
        <w:jc w:val="both"/>
        <w:rPr>
          <w:rFonts w:eastAsia="Times New Roman"/>
          <w:lang w:eastAsia="fi-FI"/>
        </w:rPr>
      </w:pPr>
      <w:r w:rsidRPr="00447088">
        <w:rPr>
          <w:lang w:val="en-US" w:eastAsia="fi-FI"/>
        </w:rPr>
        <w:t xml:space="preserve">NR Study Item [1] dealing with NR-based access to unlicensed spectrum </w:t>
      </w:r>
      <w:r w:rsidR="00036D13" w:rsidRPr="00447088">
        <w:rPr>
          <w:lang w:val="en-US" w:eastAsia="fi-FI"/>
        </w:rPr>
        <w:t>was</w:t>
      </w:r>
      <w:r w:rsidRPr="00447088">
        <w:rPr>
          <w:lang w:val="en-US" w:eastAsia="fi-FI"/>
        </w:rPr>
        <w:t xml:space="preserve"> approved in RAN plenary </w:t>
      </w:r>
      <w:r w:rsidR="00AD61F5" w:rsidRPr="00447088">
        <w:rPr>
          <w:lang w:val="en-US" w:eastAsia="fi-FI"/>
        </w:rPr>
        <w:t>#75</w:t>
      </w:r>
      <w:r w:rsidR="00291D1B">
        <w:rPr>
          <w:lang w:val="en-US" w:eastAsia="fi-FI"/>
        </w:rPr>
        <w:t>.</w:t>
      </w:r>
      <w:r w:rsidRPr="1CEFF1BD">
        <w:rPr>
          <w:rFonts w:eastAsia="Times New Roman"/>
          <w:lang w:val="en-US" w:eastAsia="fi-FI"/>
        </w:rPr>
        <w:t>.</w:t>
      </w:r>
      <w:r w:rsidR="006B16E5" w:rsidRPr="00447088">
        <w:rPr>
          <w:lang w:val="en-US" w:eastAsia="fi-FI"/>
        </w:rPr>
        <w:t xml:space="preserve">To maximize the applicability of NR-based access, it is beneficial to study solutions applicable to unlicensed bands scenarios as part of the NR development. In this contribution, we consider </w:t>
      </w:r>
      <w:r w:rsidR="0084499F">
        <w:rPr>
          <w:lang w:val="en-US" w:eastAsia="fi-FI"/>
        </w:rPr>
        <w:t xml:space="preserve">the </w:t>
      </w:r>
      <w:r w:rsidR="006B16E5" w:rsidRPr="00447088">
        <w:rPr>
          <w:lang w:val="en-US" w:eastAsia="fi-FI"/>
        </w:rPr>
        <w:t>issues related to uplink signal and channel structures</w:t>
      </w:r>
      <w:r w:rsidR="0010040C" w:rsidRPr="00447088">
        <w:rPr>
          <w:lang w:eastAsia="fi-FI"/>
        </w:rPr>
        <w:t xml:space="preserve"> for NR-U, including UL waveform and resource allocation for PUSCH, PUCCH, and PRACH.</w:t>
      </w:r>
    </w:p>
    <w:p w14:paraId="4190BD75" w14:textId="4082F985" w:rsidR="00B53162" w:rsidRDefault="00B53162" w:rsidP="00B53162">
      <w:pPr>
        <w:pStyle w:val="Heading1"/>
        <w:rPr>
          <w:color w:val="000000"/>
        </w:rPr>
      </w:pPr>
      <w:r>
        <w:rPr>
          <w:color w:val="000000"/>
        </w:rPr>
        <w:t>2</w:t>
      </w:r>
      <w:r w:rsidRPr="00B85522">
        <w:rPr>
          <w:color w:val="000000"/>
        </w:rPr>
        <w:tab/>
      </w:r>
      <w:r w:rsidR="00AA1592">
        <w:t xml:space="preserve">UL </w:t>
      </w:r>
      <w:r w:rsidR="00EE296F">
        <w:t>w</w:t>
      </w:r>
      <w:r w:rsidR="00AA1592">
        <w:t>aveform</w:t>
      </w:r>
      <w:r w:rsidR="00CD19F6">
        <w:t xml:space="preserve"> and resource allocation in frequency</w:t>
      </w:r>
    </w:p>
    <w:p w14:paraId="70F5D1F4" w14:textId="6EC1DB55" w:rsidR="00CD19F6" w:rsidRPr="00ED270C" w:rsidRDefault="00CD19F6" w:rsidP="00CD19F6">
      <w:pPr>
        <w:spacing w:after="0"/>
        <w:jc w:val="both"/>
        <w:rPr>
          <w:rFonts w:ascii="Arial" w:eastAsia="Arial" w:hAnsi="Arial" w:cs="Arial"/>
        </w:rPr>
      </w:pPr>
      <w:r w:rsidRPr="00A3048F">
        <w:t xml:space="preserve">Based on the agreements made </w:t>
      </w:r>
      <w:r w:rsidR="00B1466B">
        <w:t>in RAN1 meetings until now</w:t>
      </w:r>
      <w:r w:rsidRPr="00A3048F">
        <w:t>, both interlaced resource allocation and resource allocation contiguous in frequency are considered as part of NR-U studies.</w:t>
      </w:r>
    </w:p>
    <w:p w14:paraId="218469EA" w14:textId="77777777" w:rsidR="00CD19F6" w:rsidRPr="00ED270C" w:rsidRDefault="00CD19F6" w:rsidP="00CD19F6">
      <w:pPr>
        <w:pStyle w:val="ListParagraph"/>
        <w:numPr>
          <w:ilvl w:val="0"/>
          <w:numId w:val="53"/>
        </w:numPr>
        <w:jc w:val="both"/>
        <w:rPr>
          <w:rFonts w:ascii="Arial" w:eastAsia="Arial" w:hAnsi="Arial" w:cs="Arial"/>
          <w:lang w:val="en-US"/>
        </w:rPr>
      </w:pPr>
      <w:r w:rsidRPr="00ED270C">
        <w:rPr>
          <w:sz w:val="20"/>
          <w:szCs w:val="20"/>
          <w:lang w:val="en-GB"/>
        </w:rPr>
        <w:t>Interlaced resource allocation can have benefits in link budget limited cases with given PSD constraint. It allows to meet also the OCB requirement.</w:t>
      </w:r>
    </w:p>
    <w:p w14:paraId="7EC4AC6B" w14:textId="2947F333" w:rsidR="00CD19F6" w:rsidRPr="00291D1B" w:rsidRDefault="00CD19F6" w:rsidP="00291D1B">
      <w:pPr>
        <w:pStyle w:val="ListParagraph"/>
        <w:numPr>
          <w:ilvl w:val="0"/>
          <w:numId w:val="53"/>
        </w:numPr>
        <w:spacing w:after="180"/>
        <w:ind w:left="714" w:hanging="357"/>
        <w:jc w:val="both"/>
        <w:rPr>
          <w:rFonts w:ascii="Arial" w:eastAsia="Arial" w:hAnsi="Arial" w:cs="Arial"/>
          <w:lang w:val="en-US"/>
        </w:rPr>
      </w:pPr>
      <w:r w:rsidRPr="00ED270C">
        <w:rPr>
          <w:sz w:val="20"/>
          <w:szCs w:val="20"/>
          <w:lang w:val="en-GB"/>
        </w:rPr>
        <w:t>Contiguous allocation based on legacy resource allocation may be adequate in some scenarios.</w:t>
      </w:r>
    </w:p>
    <w:p w14:paraId="5A1784C6" w14:textId="6F3F9CD6" w:rsidR="00CD19F6" w:rsidRPr="00ED270C" w:rsidRDefault="00CD19F6" w:rsidP="00CD19F6">
      <w:pPr>
        <w:spacing w:after="0"/>
        <w:jc w:val="both"/>
        <w:rPr>
          <w:lang w:val="en-US"/>
        </w:rPr>
      </w:pPr>
      <w:r w:rsidRPr="00ED270C">
        <w:rPr>
          <w:lang w:val="en-US"/>
        </w:rPr>
        <w:t>We have evaluated the maximum achievable UE Tx power for different interlace structures in [</w:t>
      </w:r>
      <w:r w:rsidR="005E5D4A">
        <w:rPr>
          <w:lang w:val="en-US"/>
        </w:rPr>
        <w:t>6</w:t>
      </w:r>
      <w:r w:rsidRPr="00ED270C">
        <w:rPr>
          <w:lang w:val="en-US"/>
        </w:rPr>
        <w:t xml:space="preserve">]. </w:t>
      </w:r>
      <w:r>
        <w:rPr>
          <w:lang w:val="en-US"/>
        </w:rPr>
        <w:t>The results show that the proposed interlace structures can provide reasonably high Tx power especially when all interlaces are used. In this case, maximum Tx power is limited by ACLR (30 dB).</w:t>
      </w:r>
    </w:p>
    <w:p w14:paraId="534D7C2A" w14:textId="7C58F6C7" w:rsidR="00CD19F6" w:rsidRPr="00ED270C" w:rsidRDefault="00CD19F6" w:rsidP="00291D1B">
      <w:pPr>
        <w:pStyle w:val="ListParagraph"/>
        <w:numPr>
          <w:ilvl w:val="0"/>
          <w:numId w:val="76"/>
        </w:numPr>
        <w:jc w:val="both"/>
        <w:rPr>
          <w:sz w:val="20"/>
          <w:szCs w:val="20"/>
          <w:lang w:val="en-US"/>
        </w:rPr>
      </w:pPr>
      <w:r w:rsidRPr="00A3048F">
        <w:rPr>
          <w:sz w:val="20"/>
          <w:szCs w:val="20"/>
          <w:lang w:val="en-US"/>
        </w:rPr>
        <w:t xml:space="preserve">The maximum Tx power depend on the waveform used: DFT-S-OFDM provides approximately 2.2 dB higher Tx power compared to that of CP-OFDM when all interlaces are used. On the other hand, it is quite unlikely to have QPSK as the modulation scheme for uplink transmission </w:t>
      </w:r>
      <w:r w:rsidR="00291D1B">
        <w:rPr>
          <w:sz w:val="20"/>
          <w:szCs w:val="20"/>
          <w:lang w:val="en-US"/>
        </w:rPr>
        <w:t>using all interlaces</w:t>
      </w:r>
      <w:r w:rsidRPr="00A3048F">
        <w:rPr>
          <w:sz w:val="20"/>
          <w:szCs w:val="20"/>
          <w:lang w:val="en-US"/>
        </w:rPr>
        <w:t>.</w:t>
      </w:r>
    </w:p>
    <w:p w14:paraId="5EA14819" w14:textId="77777777" w:rsidR="00CD19F6" w:rsidRPr="00ED270C" w:rsidRDefault="00CD19F6" w:rsidP="00CD19F6">
      <w:pPr>
        <w:pStyle w:val="ListParagraph"/>
        <w:numPr>
          <w:ilvl w:val="0"/>
          <w:numId w:val="76"/>
        </w:numPr>
        <w:rPr>
          <w:sz w:val="20"/>
          <w:szCs w:val="20"/>
          <w:lang w:val="en-US"/>
        </w:rPr>
      </w:pPr>
      <w:r w:rsidRPr="00A3048F">
        <w:rPr>
          <w:sz w:val="20"/>
          <w:szCs w:val="20"/>
          <w:lang w:val="en-US"/>
        </w:rPr>
        <w:t>The maximum Tx power does not depend on the subcarrier spacing.</w:t>
      </w:r>
    </w:p>
    <w:p w14:paraId="6C57D60C" w14:textId="05BE7177" w:rsidR="00CD19F6" w:rsidRPr="00F44928" w:rsidRDefault="00CD19F6" w:rsidP="00CD19F6">
      <w:pPr>
        <w:rPr>
          <w:lang w:val="en-US"/>
        </w:rPr>
      </w:pPr>
      <w:r>
        <w:rPr>
          <w:lang w:val="en-US"/>
        </w:rPr>
        <w:t xml:space="preserve">When only one interlace </w:t>
      </w:r>
      <w:r w:rsidR="00291D1B">
        <w:rPr>
          <w:lang w:val="en-US"/>
        </w:rPr>
        <w:t xml:space="preserve">is </w:t>
      </w:r>
      <w:r>
        <w:rPr>
          <w:lang w:val="en-US"/>
        </w:rPr>
        <w:t>allocated, then Tx power is limited by PSD (instead of ACRL). It can be noted that in this case the maximum achievable Tx power is the same for DFT-S-OFDM and CP-OFDM. Based on that, it makes sense to consider CP-OFDM as the primary uplink waveform for NR-U.</w:t>
      </w:r>
    </w:p>
    <w:p w14:paraId="00BB8AF1" w14:textId="5D95A5B3" w:rsidR="00CD19F6" w:rsidRPr="00ED270C" w:rsidRDefault="00CD19F6" w:rsidP="00CD19F6">
      <w:pPr>
        <w:rPr>
          <w:i/>
          <w:iCs/>
          <w:lang w:val="en-US"/>
        </w:rPr>
      </w:pPr>
      <w:r w:rsidRPr="14CAD5E4">
        <w:rPr>
          <w:b/>
          <w:bCs/>
          <w:i/>
          <w:iCs/>
          <w:lang w:val="en-US"/>
        </w:rPr>
        <w:t xml:space="preserve">Proposal </w:t>
      </w:r>
      <w:r w:rsidR="005E5D4A">
        <w:rPr>
          <w:b/>
          <w:bCs/>
          <w:i/>
          <w:iCs/>
          <w:lang w:val="en-US"/>
        </w:rPr>
        <w:t>1</w:t>
      </w:r>
      <w:r w:rsidRPr="14CAD5E4">
        <w:rPr>
          <w:b/>
          <w:bCs/>
          <w:i/>
          <w:iCs/>
          <w:lang w:val="en-US"/>
        </w:rPr>
        <w:t xml:space="preserve">: </w:t>
      </w:r>
      <w:r w:rsidRPr="14CAD5E4">
        <w:rPr>
          <w:i/>
          <w:iCs/>
          <w:lang w:val="en-US"/>
        </w:rPr>
        <w:t>Consider CP-OFDM as the primary uplink waveform for NR-U.</w:t>
      </w:r>
    </w:p>
    <w:p w14:paraId="35CDE757" w14:textId="050B1369" w:rsidR="00CD19F6" w:rsidRPr="00ED270C" w:rsidRDefault="00CD19F6" w:rsidP="00CD19F6">
      <w:pPr>
        <w:jc w:val="both"/>
        <w:rPr>
          <w:rFonts w:ascii="Arial" w:eastAsia="Arial" w:hAnsi="Arial" w:cs="Arial"/>
        </w:rPr>
      </w:pPr>
      <w:r w:rsidRPr="00A3048F">
        <w:t xml:space="preserve">The regulatory rules are evolving. For example, according to the latest updates made for ETSI regulation corresponding to 5GHz band, during a Channel Occupancy Time (COT) of 5GHz </w:t>
      </w:r>
      <w:r w:rsidRPr="00ED270C">
        <w:t>band, equipment may operate temporarily with an OCB of less than 80% of its Nominal Channel Bandwidth with a minimum of 2 MHz. We see that the potential benefits from this allowance should be explored. For example, a wide BW variant of a NR signal (i.e. interlace -based transmission, or localized transmission fulfilling the OCB rule) may use resources less efficiently than the original Rel-15 NR signal. In such case, the wide BW variant could be used only when OCB requirement needs to be met by the signal, and more efficient Rel-15 NR signal</w:t>
      </w:r>
      <w:r w:rsidRPr="00ED270C">
        <w:rPr>
          <w:rFonts w:ascii="Arial" w:eastAsia="Arial" w:hAnsi="Arial" w:cs="Arial"/>
        </w:rPr>
        <w:t xml:space="preserve"> </w:t>
      </w:r>
      <w:r w:rsidRPr="00A3048F">
        <w:t>would be used otherwise.</w:t>
      </w:r>
      <w:r w:rsidRPr="00ED270C">
        <w:rPr>
          <w:rFonts w:ascii="Arial" w:eastAsia="Arial" w:hAnsi="Arial" w:cs="Arial"/>
        </w:rPr>
        <w:t xml:space="preserve"> </w:t>
      </w:r>
      <w:r>
        <w:t>In these cases</w:t>
      </w:r>
      <w:r w:rsidR="00EE296F">
        <w:t>,</w:t>
      </w:r>
      <w:r w:rsidRPr="00A3048F">
        <w:t xml:space="preserve"> PUSCH resource allocation for NR-U </w:t>
      </w:r>
      <w:r w:rsidRPr="00ED270C">
        <w:t>can be based on Uplink resource allocation type 1 (contiguous allocation of virtual resource blocks) defined in NR 38.214.</w:t>
      </w:r>
    </w:p>
    <w:p w14:paraId="3730B964" w14:textId="6BD9A60B" w:rsidR="00CD19F6" w:rsidRDefault="00CD19F6" w:rsidP="00EE296F">
      <w:pPr>
        <w:jc w:val="both"/>
        <w:rPr>
          <w:lang w:val="en-US"/>
        </w:rPr>
      </w:pPr>
      <w:bookmarkStart w:id="0" w:name="_Hlk521315177"/>
      <w:r>
        <w:rPr>
          <w:lang w:val="en-US"/>
        </w:rPr>
        <w:t>RAN4 has discussed the conditions under which a non-contiguous CP-OFDM resource allocation would follow the agreed Maximum Power Reduction rules for contiguous allocation; this is described as almost-contiguous allocation. According to [</w:t>
      </w:r>
      <w:r w:rsidR="005E5D4A">
        <w:rPr>
          <w:lang w:val="en-US"/>
        </w:rPr>
        <w:t>5</w:t>
      </w:r>
      <w:r>
        <w:rPr>
          <w:lang w:val="en-US"/>
        </w:rPr>
        <w:t xml:space="preserve">], the puncturing of some resource blocks will not negatively impact unwanted emissions, especially if the power spectral density is maintained at the same level. The bitmap resource allocation signaling (Uplink resource allocation type 0) could be used with potentially some restrictions on punctured resource blocks, and the capability for the feature exists in NR Rel-15. Based on that, it makes sense to consider almost-contiguous allocation as a reasonable resource allocation option for NR-U uplink. </w:t>
      </w:r>
    </w:p>
    <w:p w14:paraId="63450CE3" w14:textId="51097677" w:rsidR="00CD19F6" w:rsidRPr="00ED270C" w:rsidRDefault="00CD19F6" w:rsidP="00CD19F6">
      <w:pPr>
        <w:spacing w:after="0"/>
        <w:jc w:val="both"/>
        <w:rPr>
          <w:rFonts w:ascii="Arial" w:eastAsia="Arial" w:hAnsi="Arial" w:cs="Arial"/>
          <w:i/>
          <w:iCs/>
        </w:rPr>
      </w:pPr>
      <w:r w:rsidRPr="14CAD5E4">
        <w:rPr>
          <w:b/>
          <w:bCs/>
          <w:i/>
          <w:iCs/>
          <w:lang w:val="en-US"/>
        </w:rPr>
        <w:t xml:space="preserve">Proposal </w:t>
      </w:r>
      <w:r w:rsidR="005E5D4A">
        <w:rPr>
          <w:b/>
          <w:bCs/>
          <w:i/>
          <w:iCs/>
          <w:lang w:val="en-US"/>
        </w:rPr>
        <w:t>2</w:t>
      </w:r>
      <w:r w:rsidRPr="14CAD5E4">
        <w:rPr>
          <w:b/>
          <w:bCs/>
          <w:i/>
          <w:iCs/>
          <w:lang w:val="en-US"/>
        </w:rPr>
        <w:t xml:space="preserve">: </w:t>
      </w:r>
      <w:r w:rsidRPr="14CAD5E4">
        <w:rPr>
          <w:i/>
          <w:iCs/>
          <w:lang w:val="en-US"/>
        </w:rPr>
        <w:t xml:space="preserve">Consider </w:t>
      </w:r>
      <w:r w:rsidRPr="00ED270C">
        <w:rPr>
          <w:i/>
          <w:iCs/>
          <w:lang w:val="en-US"/>
        </w:rPr>
        <w:t xml:space="preserve">almost-contiguous </w:t>
      </w:r>
      <w:r w:rsidRPr="14CAD5E4">
        <w:rPr>
          <w:i/>
          <w:iCs/>
          <w:lang w:val="en-US"/>
        </w:rPr>
        <w:t>allocation based on Uplink resource allocation type 0 as one of the supported frequency domain resource allocation schemes for NR-U.</w:t>
      </w:r>
      <w:bookmarkEnd w:id="0"/>
    </w:p>
    <w:p w14:paraId="5CC1B524" w14:textId="06DB0CD3" w:rsidR="00186C5C" w:rsidRPr="001F28AA" w:rsidRDefault="006B16E5" w:rsidP="00186C5C">
      <w:pPr>
        <w:pStyle w:val="Heading1"/>
      </w:pPr>
      <w:r>
        <w:rPr>
          <w:color w:val="000000"/>
        </w:rPr>
        <w:lastRenderedPageBreak/>
        <w:t>3</w:t>
      </w:r>
      <w:r w:rsidR="00186C5C" w:rsidRPr="00A51522">
        <w:rPr>
          <w:color w:val="000000"/>
        </w:rPr>
        <w:tab/>
      </w:r>
      <w:r w:rsidR="00283ADD">
        <w:t>NR interlace structures</w:t>
      </w:r>
    </w:p>
    <w:p w14:paraId="625B2218" w14:textId="77777777" w:rsidR="00ED7136" w:rsidRDefault="00ED7136" w:rsidP="00ED7136">
      <w:pPr>
        <w:jc w:val="both"/>
        <w:rPr>
          <w:lang w:val="en-US"/>
        </w:rPr>
      </w:pPr>
      <w:r w:rsidRPr="00036D13">
        <w:rPr>
          <w:lang w:val="en-US"/>
        </w:rPr>
        <w:t>It was agreed in RAN1#92bis that “</w:t>
      </w:r>
      <w:r w:rsidRPr="320AFB50">
        <w:rPr>
          <w:i/>
          <w:iCs/>
          <w:lang w:val="en-US"/>
        </w:rPr>
        <w:t>At least for band where absence of Wi-Fi cannot be guaranteed (e.g. by regulation), LBT can be performed in units of 20 MHz</w:t>
      </w:r>
      <w:r w:rsidRPr="00036D13">
        <w:rPr>
          <w:lang w:val="en-US"/>
        </w:rPr>
        <w:t xml:space="preserve">”. This indicates that in the case of wideband operation, frequency domain resources may be allocated with the granularity of 20 MHz. </w:t>
      </w:r>
    </w:p>
    <w:p w14:paraId="5D37E1C3" w14:textId="77777777" w:rsidR="00ED7136" w:rsidRDefault="00ED7136" w:rsidP="00ED7136">
      <w:pPr>
        <w:jc w:val="both"/>
        <w:rPr>
          <w:lang w:val="en-US"/>
        </w:rPr>
      </w:pPr>
      <w:r>
        <w:rPr>
          <w:lang w:val="en-US"/>
        </w:rPr>
        <w:t>It was agreed in RAN1#94 that “</w:t>
      </w:r>
      <w:r w:rsidRPr="00066565">
        <w:rPr>
          <w:i/>
          <w:lang w:val="en-US"/>
        </w:rPr>
        <w:t>it can be beneficial to have UL channels on a common interlace structure, at least for PUSCH, PUCCH, associated DMRS</w:t>
      </w:r>
      <w:r>
        <w:rPr>
          <w:lang w:val="en-US"/>
        </w:rPr>
        <w:t xml:space="preserve">”. For different PUCCH scenarios, interlace structure designed for 20 MHz sub-band is a natural choice. In </w:t>
      </w:r>
      <w:r w:rsidRPr="00036D13">
        <w:rPr>
          <w:lang w:val="en-US"/>
        </w:rPr>
        <w:t>order to minimize the spectrum fragmentation</w:t>
      </w:r>
      <w:r>
        <w:rPr>
          <w:lang w:val="en-US"/>
        </w:rPr>
        <w:t xml:space="preserve"> for PUSCH</w:t>
      </w:r>
      <w:r w:rsidRPr="00036D13">
        <w:rPr>
          <w:lang w:val="en-US"/>
        </w:rPr>
        <w:t xml:space="preserve">, it may be preferable to concentrate all interlace -based transmissions (such as PUSCH with small data rate and long PUCCH) within one 20 MHz sub-band. This maximizes the opportunities for localized (wideband) transmission for other portions of the wideband carrier (including guard band between different 20 MHz sub-bands). On the other hand, interlace structure </w:t>
      </w:r>
      <w:r w:rsidRPr="00BD3FD0">
        <w:rPr>
          <w:lang w:val="en-US"/>
        </w:rPr>
        <w:t xml:space="preserve">with 20 MHz bandwidth can already fulfill the regulatory rules related </w:t>
      </w:r>
      <w:r>
        <w:rPr>
          <w:lang w:val="en-US"/>
        </w:rPr>
        <w:t xml:space="preserve">to </w:t>
      </w:r>
      <w:r w:rsidRPr="00BD3FD0">
        <w:rPr>
          <w:lang w:val="en-US"/>
        </w:rPr>
        <w:t>OCB</w:t>
      </w:r>
      <w:r>
        <w:rPr>
          <w:lang w:val="en-US"/>
        </w:rPr>
        <w:t>, and provide sufficient transmission power under constrained PSD</w:t>
      </w:r>
      <w:r w:rsidRPr="00BD3FD0">
        <w:rPr>
          <w:lang w:val="en-US"/>
        </w:rPr>
        <w:t xml:space="preserve">. </w:t>
      </w:r>
    </w:p>
    <w:p w14:paraId="43DCD706" w14:textId="2D1BF649" w:rsidR="00ED7136" w:rsidRPr="00FD57D9" w:rsidRDefault="00ED7136" w:rsidP="00ED7136">
      <w:pPr>
        <w:spacing w:after="0"/>
        <w:jc w:val="both"/>
        <w:rPr>
          <w:i/>
          <w:iCs/>
          <w:lang w:val="en-US"/>
        </w:rPr>
      </w:pPr>
      <w:r w:rsidRPr="57A2373E">
        <w:rPr>
          <w:b/>
          <w:bCs/>
          <w:i/>
          <w:iCs/>
          <w:lang w:val="en-US"/>
        </w:rPr>
        <w:t xml:space="preserve">Proposal </w:t>
      </w:r>
      <w:r w:rsidR="005E5D4A">
        <w:rPr>
          <w:b/>
          <w:bCs/>
          <w:i/>
          <w:iCs/>
          <w:lang w:val="en-US"/>
        </w:rPr>
        <w:t>3</w:t>
      </w:r>
      <w:r w:rsidRPr="57A2373E">
        <w:rPr>
          <w:b/>
          <w:bCs/>
          <w:i/>
          <w:iCs/>
          <w:lang w:val="en-US"/>
        </w:rPr>
        <w:t xml:space="preserve">: </w:t>
      </w:r>
      <w:r w:rsidRPr="57A2373E">
        <w:rPr>
          <w:i/>
          <w:iCs/>
          <w:lang w:val="en-US"/>
        </w:rPr>
        <w:t>NR interlace structure is designed for 20 MHz sub-band.</w:t>
      </w:r>
    </w:p>
    <w:p w14:paraId="0A31CB36" w14:textId="77777777" w:rsidR="00ED7136" w:rsidRDefault="00ED7136" w:rsidP="00ED7136">
      <w:pPr>
        <w:spacing w:after="0"/>
        <w:jc w:val="both"/>
        <w:rPr>
          <w:rFonts w:eastAsia="Batang"/>
          <w:iCs/>
          <w:kern w:val="2"/>
          <w:sz w:val="22"/>
          <w:szCs w:val="24"/>
          <w:lang w:val="en-US" w:eastAsia="ko-KR"/>
        </w:rPr>
      </w:pPr>
    </w:p>
    <w:p w14:paraId="334D9BC7" w14:textId="77777777" w:rsidR="00ED7136" w:rsidRPr="00FD57D9" w:rsidRDefault="00ED7136" w:rsidP="00ED7136">
      <w:pPr>
        <w:spacing w:after="0"/>
        <w:jc w:val="both"/>
        <w:rPr>
          <w:b/>
          <w:bCs/>
          <w:lang w:val="en-US"/>
        </w:rPr>
      </w:pPr>
      <w:r w:rsidRPr="00FD57D9">
        <w:rPr>
          <w:rFonts w:eastAsia="Batang"/>
          <w:b/>
          <w:bCs/>
          <w:kern w:val="2"/>
          <w:sz w:val="22"/>
          <w:szCs w:val="22"/>
          <w:lang w:val="en-US" w:eastAsia="ko-KR"/>
        </w:rPr>
        <w:t xml:space="preserve">Interlace design for 20 MHz sub-band: </w:t>
      </w:r>
    </w:p>
    <w:p w14:paraId="435DEDDF" w14:textId="77777777" w:rsidR="00ED7136" w:rsidRPr="00D7439B" w:rsidRDefault="00ED7136" w:rsidP="00ED7136">
      <w:pPr>
        <w:pStyle w:val="LGTdoc"/>
        <w:spacing w:afterLines="0" w:after="0" w:line="240" w:lineRule="auto"/>
        <w:rPr>
          <w:rFonts w:eastAsia="SimSun"/>
          <w:sz w:val="20"/>
          <w:szCs w:val="20"/>
          <w:lang w:val="en-US" w:eastAsia="zh-CN"/>
        </w:rPr>
      </w:pPr>
    </w:p>
    <w:p w14:paraId="057B4FEB" w14:textId="7C001944" w:rsidR="00ED7136" w:rsidRDefault="00ED7136" w:rsidP="00ED7136">
      <w:pPr>
        <w:pStyle w:val="LGTdoc"/>
        <w:spacing w:afterLines="0" w:after="0" w:line="240" w:lineRule="auto"/>
        <w:rPr>
          <w:rFonts w:eastAsia="SimSun"/>
          <w:sz w:val="20"/>
          <w:szCs w:val="20"/>
          <w:lang w:eastAsia="zh-CN"/>
        </w:rPr>
      </w:pPr>
      <w:r>
        <w:rPr>
          <w:rFonts w:eastAsia="SimSun"/>
          <w:sz w:val="20"/>
          <w:szCs w:val="20"/>
          <w:lang w:eastAsia="zh-CN"/>
        </w:rPr>
        <w:t xml:space="preserve">When the subcarrier spacing increases, the number of PRBs per given frequency band decreases. For example, with 60 kHz SCS, the number of PRBs available per 20 MHz sub-band is around 24. In this scenario, it is not possible to have interlace design fulfilling the OCB rule, and providing at the same time sufficient multiplexing capacity with a design based on cluster size of 1 PRB. Hence, in these cases, interlace design must be based on usage of partial PRBs. Otherwise, either Tx power and/or multiplexing capacity is </w:t>
      </w:r>
      <w:r w:rsidR="00DE1B85">
        <w:rPr>
          <w:rFonts w:eastAsia="SimSun"/>
          <w:sz w:val="20"/>
          <w:szCs w:val="20"/>
          <w:lang w:eastAsia="zh-CN"/>
        </w:rPr>
        <w:t>in</w:t>
      </w:r>
      <w:r>
        <w:rPr>
          <w:rFonts w:eastAsia="SimSun"/>
          <w:sz w:val="20"/>
          <w:szCs w:val="20"/>
          <w:lang w:eastAsia="zh-CN"/>
        </w:rPr>
        <w:t xml:space="preserve">sufficient. </w:t>
      </w:r>
    </w:p>
    <w:p w14:paraId="66B59DEB" w14:textId="77777777" w:rsidR="00ED7136" w:rsidRDefault="00ED7136" w:rsidP="00ED7136">
      <w:pPr>
        <w:spacing w:after="0"/>
        <w:jc w:val="both"/>
        <w:rPr>
          <w:b/>
          <w:i/>
          <w:lang w:val="en-US" w:eastAsia="x-none"/>
        </w:rPr>
      </w:pPr>
    </w:p>
    <w:p w14:paraId="60783F5F" w14:textId="125339DC" w:rsidR="00ED7136" w:rsidRPr="00FD57D9" w:rsidRDefault="00ED7136" w:rsidP="00ED7136">
      <w:pPr>
        <w:spacing w:after="0"/>
        <w:jc w:val="both"/>
        <w:rPr>
          <w:i/>
          <w:iCs/>
          <w:lang w:val="en-US"/>
        </w:rPr>
      </w:pPr>
      <w:r w:rsidRPr="00FD57D9">
        <w:rPr>
          <w:b/>
          <w:bCs/>
          <w:i/>
          <w:iCs/>
          <w:lang w:val="en-US"/>
        </w:rPr>
        <w:t xml:space="preserve">Proposal </w:t>
      </w:r>
      <w:r w:rsidR="005E5D4A">
        <w:rPr>
          <w:b/>
          <w:bCs/>
          <w:i/>
          <w:iCs/>
          <w:lang w:val="en-US"/>
        </w:rPr>
        <w:t>4</w:t>
      </w:r>
      <w:r w:rsidRPr="00FD57D9">
        <w:rPr>
          <w:b/>
          <w:bCs/>
          <w:i/>
          <w:iCs/>
          <w:lang w:val="en-US"/>
        </w:rPr>
        <w:t xml:space="preserve">: </w:t>
      </w:r>
      <w:r>
        <w:rPr>
          <w:i/>
          <w:iCs/>
          <w:lang w:val="en-US"/>
        </w:rPr>
        <w:t>For 60 kHz subcarrier spacing, s</w:t>
      </w:r>
      <w:r w:rsidRPr="00FD57D9">
        <w:rPr>
          <w:i/>
          <w:iCs/>
          <w:lang w:val="en-US"/>
        </w:rPr>
        <w:t>upport interlace structure where cluster size is a fraction of PRB.</w:t>
      </w:r>
    </w:p>
    <w:p w14:paraId="00241B26" w14:textId="77777777" w:rsidR="00ED7136" w:rsidRDefault="00ED7136" w:rsidP="00ED7136">
      <w:pPr>
        <w:spacing w:after="0"/>
        <w:jc w:val="both"/>
        <w:rPr>
          <w:i/>
          <w:lang w:val="en-US" w:eastAsia="x-none"/>
        </w:rPr>
      </w:pPr>
    </w:p>
    <w:p w14:paraId="0432290C" w14:textId="2AD631FA" w:rsidR="00ED7136" w:rsidRPr="00066565" w:rsidRDefault="00ED7136" w:rsidP="00ED7136">
      <w:pPr>
        <w:spacing w:after="0"/>
        <w:jc w:val="both"/>
        <w:rPr>
          <w:rFonts w:cs="Arial"/>
          <w:lang w:val="en-US"/>
        </w:rPr>
      </w:pPr>
      <w:r>
        <w:rPr>
          <w:rFonts w:cs="Arial"/>
          <w:lang w:val="en-US"/>
        </w:rPr>
        <w:t>It was agreed in RAN1#94 that “</w:t>
      </w:r>
      <w:r w:rsidRPr="00066565">
        <w:rPr>
          <w:rFonts w:cs="Arial"/>
          <w:i/>
          <w:lang w:val="en-US"/>
        </w:rPr>
        <w:t>For scenarios in which a block-interlaced waveform is used for UL transmission, a PRB-based block-interlace design has been identified as beneficial at least for 15 and 30 kHz SCS, and potentially for 60 kHz SCS”.</w:t>
      </w:r>
      <w:r>
        <w:rPr>
          <w:rFonts w:cs="Arial"/>
          <w:lang w:val="en-US"/>
        </w:rPr>
        <w:t xml:space="preserve"> </w:t>
      </w:r>
      <w:r>
        <w:rPr>
          <w:rFonts w:cs="Arial"/>
        </w:rPr>
        <w:t xml:space="preserve">In the following, we consider interlace design applicable to 20 MHz sub-band(s). </w:t>
      </w:r>
      <w:r>
        <w:rPr>
          <w:lang w:eastAsia="zh-CN"/>
        </w:rPr>
        <w:t xml:space="preserve">The proposed interlace structures are shown in Figure </w:t>
      </w:r>
      <w:r w:rsidR="00B961D6">
        <w:rPr>
          <w:lang w:eastAsia="zh-CN"/>
        </w:rPr>
        <w:t>1</w:t>
      </w:r>
      <w:r>
        <w:rPr>
          <w:lang w:eastAsia="zh-CN"/>
        </w:rPr>
        <w:t xml:space="preserve"> and parameters in Table 1, respectively. </w:t>
      </w:r>
    </w:p>
    <w:p w14:paraId="135D533B" w14:textId="77777777"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15 kHz sub-carrier spacing follows a PRB-based design defined for LTE LAA (Figure 2a)</w:t>
      </w:r>
    </w:p>
    <w:p w14:paraId="7E4EC42D"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M=10 (number of interlaces)</w:t>
      </w:r>
    </w:p>
    <w:p w14:paraId="2EC8DFC8"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N=10 (nominal number of PRBs per interlace)</w:t>
      </w:r>
    </w:p>
    <w:p w14:paraId="6B3DCD67" w14:textId="77777777"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Figure 2b illustrates the structure proposed for 30 kHz and 60 kHz cases.</w:t>
      </w:r>
    </w:p>
    <w:p w14:paraId="3CFDC8C7"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M=5 (number of interlaces)</w:t>
      </w:r>
    </w:p>
    <w:p w14:paraId="6F0C448B" w14:textId="77777777" w:rsidR="00ED7136" w:rsidRDefault="00ED7136" w:rsidP="00ED7136">
      <w:pPr>
        <w:pStyle w:val="LGTdoc"/>
        <w:numPr>
          <w:ilvl w:val="1"/>
          <w:numId w:val="39"/>
        </w:numPr>
        <w:spacing w:afterLines="0" w:after="0" w:line="240" w:lineRule="auto"/>
        <w:rPr>
          <w:rFonts w:eastAsia="SimSun"/>
          <w:sz w:val="20"/>
          <w:szCs w:val="20"/>
          <w:lang w:eastAsia="zh-CN"/>
        </w:rPr>
      </w:pPr>
      <w:r>
        <w:rPr>
          <w:rFonts w:eastAsia="SimSun"/>
          <w:sz w:val="20"/>
          <w:szCs w:val="20"/>
          <w:lang w:eastAsia="zh-CN"/>
        </w:rPr>
        <w:t>30 kHz: a PRB based design with N=10 (nominal number of PRBs per interlace)</w:t>
      </w:r>
    </w:p>
    <w:p w14:paraId="44AE88EC" w14:textId="77777777" w:rsidR="00ED7136" w:rsidRPr="008A2F08" w:rsidRDefault="00ED7136" w:rsidP="00ED7136">
      <w:pPr>
        <w:pStyle w:val="ListParagraph"/>
        <w:numPr>
          <w:ilvl w:val="1"/>
          <w:numId w:val="39"/>
        </w:numPr>
        <w:rPr>
          <w:kern w:val="2"/>
          <w:sz w:val="20"/>
          <w:szCs w:val="20"/>
          <w:lang w:val="en-GB"/>
        </w:rPr>
      </w:pPr>
      <w:r w:rsidRPr="008A2F08">
        <w:rPr>
          <w:sz w:val="20"/>
          <w:szCs w:val="20"/>
          <w:lang w:val="en-GB"/>
        </w:rPr>
        <w:t xml:space="preserve">60 kHz: sub-PRB structure with 10 </w:t>
      </w:r>
      <w:r w:rsidRPr="008A2F08">
        <w:rPr>
          <w:kern w:val="2"/>
          <w:sz w:val="20"/>
          <w:szCs w:val="20"/>
          <w:lang w:val="en-GB"/>
        </w:rPr>
        <w:t xml:space="preserve">equally-spaces clusters of </w:t>
      </w:r>
      <w:r>
        <w:rPr>
          <w:kern w:val="2"/>
          <w:sz w:val="20"/>
          <w:szCs w:val="20"/>
          <w:lang w:val="en-GB"/>
        </w:rPr>
        <w:t xml:space="preserve">6 REs </w:t>
      </w:r>
      <w:r>
        <w:rPr>
          <w:sz w:val="20"/>
          <w:szCs w:val="20"/>
          <w:lang w:val="en-GB"/>
        </w:rPr>
        <w:t>(5 full PRBs)</w:t>
      </w:r>
    </w:p>
    <w:p w14:paraId="76C7AC75" w14:textId="77777777"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The interlace structure covers</w:t>
      </w:r>
      <w:r w:rsidRPr="000721F7">
        <w:rPr>
          <w:rFonts w:eastAsia="SimSun"/>
          <w:sz w:val="20"/>
          <w:szCs w:val="20"/>
          <w:lang w:eastAsia="zh-CN"/>
        </w:rPr>
        <w:t xml:space="preserve"> 18 MHz bandwidth</w:t>
      </w:r>
      <w:r>
        <w:rPr>
          <w:rFonts w:eastAsia="SimSun"/>
          <w:sz w:val="20"/>
          <w:szCs w:val="20"/>
          <w:lang w:eastAsia="zh-CN"/>
        </w:rPr>
        <w:t>. Bandwidth occupancy of single interlace is &gt;82% (/20 MHz). Hence, the design is compatible with the ETSI OCB rule.</w:t>
      </w:r>
      <w:r w:rsidRPr="000721F7">
        <w:rPr>
          <w:rFonts w:eastAsia="SimSun"/>
          <w:sz w:val="20"/>
          <w:szCs w:val="20"/>
          <w:lang w:eastAsia="zh-CN"/>
        </w:rPr>
        <w:t xml:space="preserve"> </w:t>
      </w:r>
    </w:p>
    <w:p w14:paraId="653005D4" w14:textId="77777777"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 xml:space="preserve">This design benefits from </w:t>
      </w:r>
      <w:r w:rsidRPr="00FB15C5">
        <w:rPr>
          <w:rFonts w:eastAsia="SimSun"/>
          <w:b/>
          <w:bCs/>
          <w:sz w:val="20"/>
          <w:szCs w:val="20"/>
          <w:u w:val="single"/>
          <w:lang w:eastAsia="zh-CN"/>
        </w:rPr>
        <w:t>10 dB</w:t>
      </w:r>
      <w:r>
        <w:rPr>
          <w:rFonts w:eastAsia="SimSun"/>
          <w:sz w:val="20"/>
          <w:szCs w:val="20"/>
          <w:lang w:eastAsia="zh-CN"/>
        </w:rPr>
        <w:t xml:space="preserve"> power boost compared to a narrowband transmission (such as 1 PRB transmission).</w:t>
      </w:r>
    </w:p>
    <w:p w14:paraId="7E5C83A2" w14:textId="77777777" w:rsidR="00ED7136" w:rsidRDefault="00ED7136" w:rsidP="00ED7136">
      <w:pPr>
        <w:pStyle w:val="LGTdoc"/>
        <w:spacing w:afterLines="0" w:after="0" w:line="240" w:lineRule="auto"/>
        <w:rPr>
          <w:rFonts w:eastAsia="SimSun"/>
          <w:sz w:val="20"/>
          <w:szCs w:val="20"/>
          <w:lang w:eastAsia="zh-CN"/>
        </w:rPr>
      </w:pPr>
    </w:p>
    <w:p w14:paraId="3E32D417" w14:textId="1CE6C1B6" w:rsidR="00ED7136" w:rsidRPr="00FD57D9" w:rsidRDefault="00ED7136" w:rsidP="00ED7136">
      <w:pPr>
        <w:spacing w:after="0"/>
        <w:jc w:val="both"/>
        <w:rPr>
          <w:i/>
          <w:iCs/>
          <w:lang w:val="en-US"/>
        </w:rPr>
      </w:pPr>
      <w:r w:rsidRPr="00FD57D9">
        <w:rPr>
          <w:b/>
          <w:bCs/>
          <w:i/>
          <w:iCs/>
          <w:lang w:val="en-US"/>
        </w:rPr>
        <w:t xml:space="preserve">Proposal </w:t>
      </w:r>
      <w:r w:rsidR="005E5D4A">
        <w:rPr>
          <w:b/>
          <w:bCs/>
          <w:i/>
          <w:iCs/>
          <w:lang w:val="en-US"/>
        </w:rPr>
        <w:t>5</w:t>
      </w:r>
      <w:r w:rsidRPr="00FD57D9">
        <w:rPr>
          <w:b/>
          <w:bCs/>
          <w:i/>
          <w:iCs/>
          <w:lang w:val="en-US"/>
        </w:rPr>
        <w:t xml:space="preserve">: </w:t>
      </w:r>
      <w:r>
        <w:rPr>
          <w:i/>
          <w:iCs/>
          <w:lang w:val="en-US"/>
        </w:rPr>
        <w:t>Supports</w:t>
      </w:r>
      <w:r w:rsidRPr="00FD57D9">
        <w:rPr>
          <w:i/>
          <w:iCs/>
          <w:lang w:val="en-US"/>
        </w:rPr>
        <w:t xml:space="preserve"> the following interlace structures for NR-U operating at 5 GHz spectrum and 20 MHz sub-band:</w:t>
      </w:r>
    </w:p>
    <w:p w14:paraId="3EFF421C" w14:textId="77777777" w:rsidR="00ED7136" w:rsidRPr="00857984" w:rsidRDefault="00ED7136" w:rsidP="00ED7136">
      <w:pPr>
        <w:pStyle w:val="ListParagraph"/>
        <w:numPr>
          <w:ilvl w:val="0"/>
          <w:numId w:val="42"/>
        </w:numPr>
        <w:jc w:val="both"/>
        <w:rPr>
          <w:i/>
          <w:iCs/>
          <w:sz w:val="20"/>
          <w:szCs w:val="20"/>
          <w:lang w:val="en-US"/>
        </w:rPr>
      </w:pPr>
      <w:r>
        <w:rPr>
          <w:rFonts w:cs="Arial"/>
          <w:i/>
          <w:iCs/>
          <w:sz w:val="20"/>
          <w:szCs w:val="20"/>
          <w:lang w:val="en-US"/>
        </w:rPr>
        <w:t>15 kHz</w:t>
      </w:r>
      <w:r w:rsidRPr="57A2373E">
        <w:rPr>
          <w:rFonts w:cs="Arial"/>
          <w:i/>
          <w:iCs/>
          <w:sz w:val="20"/>
          <w:szCs w:val="20"/>
          <w:lang w:val="en-US"/>
        </w:rPr>
        <w:t>: 10 interlaces</w:t>
      </w:r>
      <w:r>
        <w:rPr>
          <w:rFonts w:cs="Arial"/>
          <w:i/>
          <w:iCs/>
          <w:sz w:val="20"/>
          <w:szCs w:val="20"/>
          <w:lang w:val="en-US"/>
        </w:rPr>
        <w:t xml:space="preserve"> (M=10)</w:t>
      </w:r>
      <w:r w:rsidRPr="57A2373E">
        <w:rPr>
          <w:rFonts w:cs="Arial"/>
          <w:i/>
          <w:iCs/>
          <w:sz w:val="20"/>
          <w:szCs w:val="20"/>
          <w:lang w:val="en-US"/>
        </w:rPr>
        <w:t xml:space="preserve">, each having 10 </w:t>
      </w:r>
      <w:r>
        <w:rPr>
          <w:rFonts w:cs="Arial"/>
          <w:i/>
          <w:iCs/>
          <w:sz w:val="20"/>
          <w:szCs w:val="20"/>
          <w:lang w:val="en-US"/>
        </w:rPr>
        <w:t xml:space="preserve">(N=10) </w:t>
      </w:r>
      <w:r w:rsidRPr="57A2373E">
        <w:rPr>
          <w:rFonts w:cs="Arial"/>
          <w:i/>
          <w:iCs/>
          <w:sz w:val="20"/>
          <w:szCs w:val="20"/>
          <w:lang w:val="en-US"/>
        </w:rPr>
        <w:t>equally-spaced clusters of 180 kHz</w:t>
      </w:r>
      <w:r>
        <w:rPr>
          <w:rFonts w:cs="Arial"/>
          <w:i/>
          <w:iCs/>
          <w:sz w:val="20"/>
          <w:szCs w:val="20"/>
          <w:lang w:val="en-US"/>
        </w:rPr>
        <w:t xml:space="preserve"> (12 REs)</w:t>
      </w:r>
    </w:p>
    <w:p w14:paraId="6197F826" w14:textId="77777777" w:rsidR="00ED7136" w:rsidRPr="00857984" w:rsidRDefault="00ED7136" w:rsidP="00ED7136">
      <w:pPr>
        <w:pStyle w:val="ListParagraph"/>
        <w:numPr>
          <w:ilvl w:val="0"/>
          <w:numId w:val="42"/>
        </w:numPr>
        <w:jc w:val="both"/>
        <w:rPr>
          <w:i/>
          <w:iCs/>
          <w:sz w:val="20"/>
          <w:szCs w:val="20"/>
          <w:lang w:val="en-US"/>
        </w:rPr>
      </w:pPr>
      <w:r>
        <w:rPr>
          <w:rFonts w:cs="Arial"/>
          <w:i/>
          <w:iCs/>
          <w:sz w:val="20"/>
          <w:szCs w:val="20"/>
          <w:lang w:val="en-US"/>
        </w:rPr>
        <w:t xml:space="preserve">30 kHz: 5 </w:t>
      </w:r>
      <w:r w:rsidRPr="57A2373E">
        <w:rPr>
          <w:rFonts w:cs="Arial"/>
          <w:i/>
          <w:iCs/>
          <w:sz w:val="20"/>
          <w:szCs w:val="20"/>
          <w:lang w:val="en-US"/>
        </w:rPr>
        <w:t>interlaces</w:t>
      </w:r>
      <w:r>
        <w:rPr>
          <w:rFonts w:cs="Arial"/>
          <w:i/>
          <w:iCs/>
          <w:sz w:val="20"/>
          <w:szCs w:val="20"/>
          <w:lang w:val="en-US"/>
        </w:rPr>
        <w:t xml:space="preserve"> (M=5)</w:t>
      </w:r>
      <w:r w:rsidRPr="57A2373E">
        <w:rPr>
          <w:rFonts w:cs="Arial"/>
          <w:i/>
          <w:iCs/>
          <w:sz w:val="20"/>
          <w:szCs w:val="20"/>
          <w:lang w:val="en-US"/>
        </w:rPr>
        <w:t xml:space="preserve">, each having 10 </w:t>
      </w:r>
      <w:r>
        <w:rPr>
          <w:rFonts w:cs="Arial"/>
          <w:i/>
          <w:iCs/>
          <w:sz w:val="20"/>
          <w:szCs w:val="20"/>
          <w:lang w:val="en-US"/>
        </w:rPr>
        <w:t xml:space="preserve">(N=10) </w:t>
      </w:r>
      <w:r w:rsidRPr="57A2373E">
        <w:rPr>
          <w:rFonts w:cs="Arial"/>
          <w:i/>
          <w:iCs/>
          <w:sz w:val="20"/>
          <w:szCs w:val="20"/>
          <w:lang w:val="en-US"/>
        </w:rPr>
        <w:t xml:space="preserve">equally-spaced clusters of </w:t>
      </w:r>
      <w:r>
        <w:rPr>
          <w:rFonts w:cs="Arial"/>
          <w:i/>
          <w:iCs/>
          <w:sz w:val="20"/>
          <w:szCs w:val="20"/>
          <w:lang w:val="en-US"/>
        </w:rPr>
        <w:t>360</w:t>
      </w:r>
      <w:r w:rsidRPr="57A2373E">
        <w:rPr>
          <w:rFonts w:cs="Arial"/>
          <w:i/>
          <w:iCs/>
          <w:sz w:val="20"/>
          <w:szCs w:val="20"/>
          <w:lang w:val="en-US"/>
        </w:rPr>
        <w:t xml:space="preserve"> kHz</w:t>
      </w:r>
      <w:r>
        <w:rPr>
          <w:rFonts w:cs="Arial"/>
          <w:i/>
          <w:iCs/>
          <w:sz w:val="20"/>
          <w:szCs w:val="20"/>
          <w:lang w:val="en-US"/>
        </w:rPr>
        <w:t xml:space="preserve"> (12 REs)</w:t>
      </w:r>
    </w:p>
    <w:p w14:paraId="1E17AAB0" w14:textId="7648096D" w:rsidR="00ED7136" w:rsidRPr="00857984" w:rsidRDefault="00ED7136" w:rsidP="00ED7136">
      <w:pPr>
        <w:pStyle w:val="ListParagraph"/>
        <w:numPr>
          <w:ilvl w:val="0"/>
          <w:numId w:val="42"/>
        </w:numPr>
        <w:jc w:val="both"/>
        <w:rPr>
          <w:i/>
          <w:iCs/>
          <w:sz w:val="20"/>
          <w:szCs w:val="20"/>
          <w:lang w:val="en-US"/>
        </w:rPr>
      </w:pPr>
      <w:r>
        <w:rPr>
          <w:rFonts w:cs="Arial"/>
          <w:i/>
          <w:iCs/>
          <w:sz w:val="20"/>
          <w:szCs w:val="20"/>
          <w:lang w:val="en-US"/>
        </w:rPr>
        <w:t>60 kHz: 5 interlaces (M=5), each having 10 (N=10) equally-space</w:t>
      </w:r>
      <w:r w:rsidR="00A038FF">
        <w:rPr>
          <w:rFonts w:cs="Arial"/>
          <w:i/>
          <w:iCs/>
          <w:sz w:val="20"/>
          <w:szCs w:val="20"/>
          <w:lang w:val="en-US"/>
        </w:rPr>
        <w:t>d</w:t>
      </w:r>
      <w:r>
        <w:rPr>
          <w:rFonts w:cs="Arial"/>
          <w:i/>
          <w:iCs/>
          <w:sz w:val="20"/>
          <w:szCs w:val="20"/>
          <w:lang w:val="en-US"/>
        </w:rPr>
        <w:t xml:space="preserve"> clusters of 360 kHz (6 REs) </w:t>
      </w:r>
    </w:p>
    <w:p w14:paraId="0CFBF676" w14:textId="77777777" w:rsidR="00ED7136" w:rsidRPr="00CC3373" w:rsidRDefault="00ED7136" w:rsidP="00ED7136">
      <w:pPr>
        <w:pStyle w:val="LGTdoc"/>
        <w:spacing w:afterLines="0" w:after="0" w:line="240" w:lineRule="auto"/>
        <w:rPr>
          <w:rFonts w:eastAsia="SimSun"/>
          <w:sz w:val="20"/>
          <w:szCs w:val="20"/>
          <w:lang w:val="en-US" w:eastAsia="zh-CN"/>
        </w:rPr>
      </w:pPr>
    </w:p>
    <w:p w14:paraId="392ABC26" w14:textId="77777777" w:rsidR="00ED7136" w:rsidRDefault="00ED7136" w:rsidP="00ED7136">
      <w:pPr>
        <w:pStyle w:val="LGTdoc"/>
        <w:spacing w:afterLines="0" w:after="0" w:line="240" w:lineRule="auto"/>
        <w:rPr>
          <w:rFonts w:eastAsia="SimSun"/>
          <w:sz w:val="20"/>
          <w:szCs w:val="20"/>
          <w:lang w:eastAsia="zh-CN"/>
        </w:rPr>
      </w:pPr>
    </w:p>
    <w:p w14:paraId="3780C8E2" w14:textId="77777777" w:rsidR="00ED7136" w:rsidRDefault="00ED7136" w:rsidP="00ED7136">
      <w:pPr>
        <w:pStyle w:val="LGTdoc"/>
        <w:spacing w:afterLines="0" w:after="0" w:line="240" w:lineRule="auto"/>
        <w:rPr>
          <w:rFonts w:eastAsia="SimSun"/>
          <w:sz w:val="20"/>
          <w:szCs w:val="20"/>
          <w:lang w:eastAsia="zh-CN"/>
        </w:rPr>
      </w:pPr>
    </w:p>
    <w:tbl>
      <w:tblPr>
        <w:tblStyle w:val="TableGrid"/>
        <w:tblW w:w="0" w:type="auto"/>
        <w:tblLook w:val="04A0" w:firstRow="1" w:lastRow="0" w:firstColumn="1" w:lastColumn="0" w:noHBand="0" w:noVBand="1"/>
      </w:tblPr>
      <w:tblGrid>
        <w:gridCol w:w="9771"/>
      </w:tblGrid>
      <w:tr w:rsidR="00ED7136" w14:paraId="036FA1E2" w14:textId="77777777" w:rsidTr="008F7F99">
        <w:tc>
          <w:tcPr>
            <w:tcW w:w="9771" w:type="dxa"/>
            <w:shd w:val="clear" w:color="auto" w:fill="auto"/>
          </w:tcPr>
          <w:p w14:paraId="62A76017" w14:textId="77777777" w:rsidR="00ED7136" w:rsidRDefault="00ED7136" w:rsidP="008F7F99">
            <w:pPr>
              <w:pStyle w:val="LGTdoc"/>
              <w:spacing w:afterLines="0" w:line="240" w:lineRule="auto"/>
              <w:rPr>
                <w:rFonts w:eastAsia="SimSun"/>
                <w:sz w:val="20"/>
                <w:szCs w:val="20"/>
                <w:lang w:eastAsia="zh-CN"/>
              </w:rPr>
            </w:pPr>
            <w:r>
              <w:rPr>
                <w:noProof/>
              </w:rPr>
              <w:drawing>
                <wp:inline distT="0" distB="0" distL="0" distR="0" wp14:anchorId="3BC4B78A" wp14:editId="04C20FF0">
                  <wp:extent cx="6210935" cy="12598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10935" cy="1259840"/>
                          </a:xfrm>
                          <a:prstGeom prst="rect">
                            <a:avLst/>
                          </a:prstGeom>
                        </pic:spPr>
                      </pic:pic>
                    </a:graphicData>
                  </a:graphic>
                </wp:inline>
              </w:drawing>
            </w:r>
          </w:p>
          <w:p w14:paraId="4A1E31F7" w14:textId="77777777" w:rsidR="00ED7136" w:rsidRDefault="00ED7136" w:rsidP="00ED7136">
            <w:pPr>
              <w:pStyle w:val="LGTdoc"/>
              <w:numPr>
                <w:ilvl w:val="0"/>
                <w:numId w:val="73"/>
              </w:numPr>
              <w:spacing w:afterLines="0" w:line="240" w:lineRule="auto"/>
              <w:jc w:val="center"/>
              <w:rPr>
                <w:rFonts w:eastAsia="SimSun"/>
                <w:sz w:val="20"/>
                <w:szCs w:val="20"/>
                <w:lang w:eastAsia="zh-CN"/>
              </w:rPr>
            </w:pPr>
            <w:r>
              <w:rPr>
                <w:rFonts w:eastAsia="SimSun"/>
                <w:sz w:val="20"/>
                <w:szCs w:val="20"/>
                <w:lang w:eastAsia="zh-CN"/>
              </w:rPr>
              <w:t>15 kHz subcarrier spacing</w:t>
            </w:r>
          </w:p>
        </w:tc>
      </w:tr>
      <w:tr w:rsidR="00ED7136" w14:paraId="145F4902" w14:textId="77777777" w:rsidTr="008F7F99">
        <w:tc>
          <w:tcPr>
            <w:tcW w:w="9771" w:type="dxa"/>
            <w:shd w:val="clear" w:color="auto" w:fill="auto"/>
          </w:tcPr>
          <w:p w14:paraId="6CA203B6" w14:textId="77777777" w:rsidR="00ED7136" w:rsidRDefault="00ED7136" w:rsidP="008F7F99">
            <w:pPr>
              <w:pStyle w:val="LGTdoc"/>
              <w:spacing w:afterLines="0" w:line="240" w:lineRule="auto"/>
              <w:rPr>
                <w:rFonts w:eastAsia="SimSun"/>
                <w:sz w:val="20"/>
                <w:szCs w:val="20"/>
                <w:lang w:eastAsia="zh-CN"/>
              </w:rPr>
            </w:pPr>
            <w:r>
              <w:rPr>
                <w:noProof/>
              </w:rPr>
              <w:drawing>
                <wp:inline distT="0" distB="0" distL="0" distR="0" wp14:anchorId="23EA25C2" wp14:editId="68B74676">
                  <wp:extent cx="6210935" cy="13576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10935" cy="1357630"/>
                          </a:xfrm>
                          <a:prstGeom prst="rect">
                            <a:avLst/>
                          </a:prstGeom>
                        </pic:spPr>
                      </pic:pic>
                    </a:graphicData>
                  </a:graphic>
                </wp:inline>
              </w:drawing>
            </w:r>
          </w:p>
          <w:p w14:paraId="1E754831" w14:textId="77777777" w:rsidR="00ED7136" w:rsidRDefault="00ED7136" w:rsidP="00ED7136">
            <w:pPr>
              <w:pStyle w:val="LGTdoc"/>
              <w:numPr>
                <w:ilvl w:val="0"/>
                <w:numId w:val="73"/>
              </w:numPr>
              <w:spacing w:afterLines="0" w:line="240" w:lineRule="auto"/>
              <w:jc w:val="center"/>
              <w:rPr>
                <w:rFonts w:eastAsia="SimSun"/>
                <w:sz w:val="20"/>
                <w:szCs w:val="20"/>
                <w:lang w:eastAsia="zh-CN"/>
              </w:rPr>
            </w:pPr>
            <w:r>
              <w:rPr>
                <w:rFonts w:eastAsia="SimSun"/>
                <w:sz w:val="20"/>
                <w:szCs w:val="20"/>
                <w:lang w:eastAsia="zh-CN"/>
              </w:rPr>
              <w:t>30 kHz and 60 kHz subcarrier spacing</w:t>
            </w:r>
          </w:p>
        </w:tc>
      </w:tr>
    </w:tbl>
    <w:p w14:paraId="2E2C2EEA" w14:textId="449E90FC" w:rsidR="00ED7136" w:rsidRDefault="00ED7136" w:rsidP="00921786">
      <w:pPr>
        <w:pStyle w:val="Caption"/>
        <w:jc w:val="center"/>
      </w:pPr>
      <w:r>
        <w:t xml:space="preserve">Figure </w:t>
      </w:r>
      <w:r w:rsidR="00B961D6">
        <w:t>1</w:t>
      </w:r>
      <w:r>
        <w:t>. Proposed interlace structures</w:t>
      </w:r>
    </w:p>
    <w:p w14:paraId="70108EC9" w14:textId="77777777" w:rsidR="00ED7136" w:rsidRDefault="00ED7136" w:rsidP="00ED7136">
      <w:pPr>
        <w:pStyle w:val="LGTdoc"/>
        <w:spacing w:afterLines="0" w:after="0" w:line="240" w:lineRule="auto"/>
        <w:rPr>
          <w:rFonts w:eastAsia="SimSun"/>
          <w:b/>
          <w:sz w:val="20"/>
          <w:szCs w:val="20"/>
          <w:u w:val="single"/>
          <w:lang w:eastAsia="zh-CN"/>
        </w:rPr>
      </w:pPr>
    </w:p>
    <w:p w14:paraId="4642B5AC" w14:textId="122CED17" w:rsidR="00ED7136" w:rsidRDefault="00ED7136" w:rsidP="00DE1B85">
      <w:pPr>
        <w:pStyle w:val="Caption"/>
        <w:keepNext/>
        <w:spacing w:before="0"/>
        <w:jc w:val="center"/>
      </w:pPr>
      <w:r>
        <w:t xml:space="preserve">Table </w:t>
      </w:r>
      <w:r>
        <w:fldChar w:fldCharType="begin"/>
      </w:r>
      <w:r>
        <w:instrText xml:space="preserve"> SEQ Table \* ARABIC </w:instrText>
      </w:r>
      <w:r>
        <w:fldChar w:fldCharType="separate"/>
      </w:r>
      <w:r w:rsidR="00A14A61">
        <w:rPr>
          <w:noProof/>
        </w:rPr>
        <w:t>1</w:t>
      </w:r>
      <w:r>
        <w:fldChar w:fldCharType="end"/>
      </w:r>
      <w:r>
        <w:t xml:space="preserve">. Parameters for </w:t>
      </w:r>
      <w:r w:rsidR="3DBA60F8">
        <w:t xml:space="preserve">proposed </w:t>
      </w:r>
      <w:r>
        <w:t>interlaced structure</w:t>
      </w:r>
      <w:r w:rsidR="3DBA60F8">
        <w:t>s</w:t>
      </w:r>
    </w:p>
    <w:p w14:paraId="08405CAE" w14:textId="77777777" w:rsidR="00ED7136" w:rsidRDefault="00ED7136" w:rsidP="00ED7136">
      <w:pPr>
        <w:pStyle w:val="LGTdoc"/>
        <w:spacing w:afterLines="0" w:after="0" w:line="240" w:lineRule="auto"/>
        <w:jc w:val="center"/>
        <w:rPr>
          <w:rFonts w:eastAsia="SimSun"/>
          <w:b/>
          <w:sz w:val="20"/>
          <w:szCs w:val="20"/>
          <w:u w:val="single"/>
          <w:lang w:eastAsia="zh-CN"/>
        </w:rPr>
      </w:pPr>
      <w:r w:rsidRPr="00DC0CB2">
        <w:rPr>
          <w:rFonts w:eastAsia="SimSun"/>
          <w:noProof/>
          <w:sz w:val="20"/>
          <w:szCs w:val="20"/>
          <w:lang w:eastAsia="zh-CN"/>
        </w:rPr>
        <w:drawing>
          <wp:inline distT="0" distB="0" distL="0" distR="0" wp14:anchorId="5A17058A" wp14:editId="403C75D2">
            <wp:extent cx="6210935" cy="1193165"/>
            <wp:effectExtent l="0" t="0" r="0" b="6985"/>
            <wp:docPr id="13" name="Picture 26">
              <a:extLst xmlns:a="http://schemas.openxmlformats.org/drawingml/2006/main">
                <a:ext uri="{FF2B5EF4-FFF2-40B4-BE49-F238E27FC236}">
                  <a16:creationId xmlns:a16="http://schemas.microsoft.com/office/drawing/2014/main" id="{65AE8688-2354-4C2C-B2FD-353C0378C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5AE8688-2354-4C2C-B2FD-353C0378CA45}"/>
                        </a:ext>
                      </a:extLst>
                    </pic:cNvPr>
                    <pic:cNvPicPr>
                      <a:picLocks noChangeAspect="1"/>
                    </pic:cNvPicPr>
                  </pic:nvPicPr>
                  <pic:blipFill>
                    <a:blip r:embed="rId15"/>
                    <a:stretch>
                      <a:fillRect/>
                    </a:stretch>
                  </pic:blipFill>
                  <pic:spPr>
                    <a:xfrm>
                      <a:off x="0" y="0"/>
                      <a:ext cx="6210935" cy="1193165"/>
                    </a:xfrm>
                    <a:prstGeom prst="rect">
                      <a:avLst/>
                    </a:prstGeom>
                  </pic:spPr>
                </pic:pic>
              </a:graphicData>
            </a:graphic>
          </wp:inline>
        </w:drawing>
      </w:r>
    </w:p>
    <w:p w14:paraId="283046D8" w14:textId="77777777" w:rsidR="00ED7136" w:rsidRDefault="00ED7136" w:rsidP="00ED7136">
      <w:pPr>
        <w:spacing w:after="0"/>
        <w:jc w:val="both"/>
        <w:rPr>
          <w:lang w:val="en-US"/>
        </w:rPr>
      </w:pPr>
    </w:p>
    <w:p w14:paraId="1A658DA7" w14:textId="3992D6F6" w:rsidR="00ED7136" w:rsidRDefault="00ED7136" w:rsidP="00DE1B85">
      <w:pPr>
        <w:spacing w:after="120"/>
        <w:jc w:val="both"/>
        <w:rPr>
          <w:rFonts w:eastAsia="Batang"/>
          <w:b/>
          <w:bCs/>
          <w:kern w:val="2"/>
          <w:sz w:val="22"/>
          <w:szCs w:val="22"/>
          <w:lang w:val="en-US" w:eastAsia="ko-KR"/>
        </w:rPr>
      </w:pPr>
      <w:r>
        <w:rPr>
          <w:rFonts w:eastAsia="Batang"/>
          <w:b/>
          <w:bCs/>
          <w:kern w:val="2"/>
          <w:sz w:val="22"/>
          <w:szCs w:val="22"/>
          <w:lang w:val="en-US" w:eastAsia="ko-KR"/>
        </w:rPr>
        <w:t>Resource allocation</w:t>
      </w:r>
      <w:r w:rsidRPr="00FD57D9">
        <w:rPr>
          <w:rFonts w:eastAsia="Batang"/>
          <w:b/>
          <w:bCs/>
          <w:kern w:val="2"/>
          <w:sz w:val="22"/>
          <w:szCs w:val="22"/>
          <w:lang w:val="en-US" w:eastAsia="ko-KR"/>
        </w:rPr>
        <w:t>:</w:t>
      </w:r>
    </w:p>
    <w:p w14:paraId="7914CEA4" w14:textId="518BB27B" w:rsidR="00ED7136" w:rsidRDefault="00ED7136" w:rsidP="00DE1B85">
      <w:pPr>
        <w:spacing w:after="120"/>
        <w:jc w:val="both"/>
        <w:rPr>
          <w:rFonts w:cs="Arial"/>
        </w:rPr>
      </w:pPr>
      <w:r>
        <w:rPr>
          <w:rFonts w:cs="Arial"/>
        </w:rPr>
        <w:t>Resource allocation was mentioned as one issue for sub-PRB design with specification impacts in [</w:t>
      </w:r>
      <w:r w:rsidR="000F7FAB">
        <w:rPr>
          <w:rFonts w:cs="Arial"/>
        </w:rPr>
        <w:t>8</w:t>
      </w:r>
      <w:r>
        <w:rPr>
          <w:rFonts w:cs="Arial"/>
        </w:rPr>
        <w:t xml:space="preserve">]. As can be seen in Table 1, the number of PRBs per interlace is 5. This is one of the RA sizes supported already by NR Rel-15. Based on that, it seems that resource allocation is not an issue for the considered sub-PRB design.   </w:t>
      </w:r>
    </w:p>
    <w:p w14:paraId="2BF4E50F" w14:textId="19205F0B" w:rsidR="00ED7136" w:rsidRDefault="00ED7136" w:rsidP="00921786">
      <w:pPr>
        <w:spacing w:after="120"/>
        <w:jc w:val="both"/>
        <w:rPr>
          <w:rFonts w:cs="Arial"/>
        </w:rPr>
      </w:pPr>
      <w:r>
        <w:rPr>
          <w:rFonts w:cs="Arial"/>
        </w:rPr>
        <w:t>Another issue raised in [</w:t>
      </w:r>
      <w:r w:rsidR="000F7FAB">
        <w:rPr>
          <w:rFonts w:cs="Arial"/>
        </w:rPr>
        <w:t>8</w:t>
      </w:r>
      <w:r>
        <w:rPr>
          <w:rFonts w:cs="Arial"/>
        </w:rPr>
        <w:t>] is the compatibility with the existing DFT</w:t>
      </w:r>
      <w:r w:rsidR="00E43E8C">
        <w:rPr>
          <w:rFonts w:cs="Arial"/>
        </w:rPr>
        <w:t xml:space="preserve"> </w:t>
      </w:r>
      <w:r>
        <w:rPr>
          <w:rFonts w:cs="Arial"/>
        </w:rPr>
        <w:t>size options when using DFT-S-OFDM. From the implementation reasons, and based on the existing design, the allowed DFT sizes are limited to products of integers 2, 3 and 5. It makes sense to follow this approach also in NR-U. It can be noted that each interlace with 60 kHz SCS consists of 60 frequency bins, which is one of the supported DFT sizes in NR.</w:t>
      </w:r>
    </w:p>
    <w:p w14:paraId="50B0BD9C" w14:textId="5BA4749F" w:rsidR="00521C31" w:rsidRPr="00E43E8C" w:rsidRDefault="00521C31" w:rsidP="00921786">
      <w:pPr>
        <w:spacing w:after="120"/>
        <w:jc w:val="both"/>
        <w:rPr>
          <w:rFonts w:cs="Arial"/>
        </w:rPr>
      </w:pPr>
      <w:r>
        <w:rPr>
          <w:rFonts w:cs="Arial"/>
        </w:rPr>
        <w:t>Further, when the number of</w:t>
      </w:r>
      <w:r w:rsidRPr="007F145D">
        <w:rPr>
          <w:iCs/>
          <w:lang w:val="en-US"/>
        </w:rPr>
        <w:t xml:space="preserve"> </w:t>
      </w:r>
      <w:r>
        <w:rPr>
          <w:iCs/>
          <w:lang w:val="en-US"/>
        </w:rPr>
        <w:t xml:space="preserve">allocated </w:t>
      </w:r>
      <w:r w:rsidRPr="007F145D">
        <w:rPr>
          <w:iCs/>
          <w:lang w:val="en-US"/>
        </w:rPr>
        <w:t>resource elements</w:t>
      </w:r>
      <w:r w:rsidRPr="003342E8">
        <w:rPr>
          <w:iCs/>
          <w:lang w:val="en-US"/>
        </w:rPr>
        <w:t xml:space="preserve"> per sub-PRB interlace </w:t>
      </w:r>
      <w:r>
        <w:rPr>
          <w:iCs/>
          <w:lang w:val="en-US"/>
        </w:rPr>
        <w:t>corresponds to multiple PRBs, i.e., is</w:t>
      </w:r>
      <w:r w:rsidRPr="007F145D">
        <w:rPr>
          <w:iCs/>
          <w:lang w:val="en-US"/>
        </w:rPr>
        <w:t xml:space="preserve"> multiple of 12</w:t>
      </w:r>
      <w:r>
        <w:rPr>
          <w:iCs/>
          <w:lang w:val="en-US"/>
        </w:rPr>
        <w:t>, UE processing prior sub-carrier mapping remains mostly similar to normal full PRB allocation. This is another important benefit of the considered sub-PRB design.</w:t>
      </w:r>
    </w:p>
    <w:p w14:paraId="5633069E" w14:textId="0366FD15" w:rsidR="00ED7136" w:rsidRPr="00E43E8C" w:rsidRDefault="00ED7136" w:rsidP="00CF471A">
      <w:pPr>
        <w:spacing w:after="120"/>
        <w:jc w:val="both"/>
        <w:rPr>
          <w:i/>
          <w:iCs/>
          <w:lang w:val="en-US"/>
        </w:rPr>
      </w:pPr>
      <w:r w:rsidRPr="00FD57D9">
        <w:rPr>
          <w:b/>
          <w:bCs/>
          <w:i/>
          <w:iCs/>
          <w:lang w:val="en-US"/>
        </w:rPr>
        <w:t xml:space="preserve">Proposal </w:t>
      </w:r>
      <w:r w:rsidR="005E5D4A">
        <w:rPr>
          <w:b/>
          <w:bCs/>
          <w:i/>
          <w:iCs/>
          <w:lang w:val="en-US"/>
        </w:rPr>
        <w:t>6</w:t>
      </w:r>
      <w:r w:rsidRPr="00FD57D9">
        <w:rPr>
          <w:b/>
          <w:bCs/>
          <w:i/>
          <w:iCs/>
          <w:lang w:val="en-US"/>
        </w:rPr>
        <w:t xml:space="preserve">: </w:t>
      </w:r>
      <w:r>
        <w:rPr>
          <w:i/>
          <w:iCs/>
          <w:lang w:val="en-US"/>
        </w:rPr>
        <w:t>The number of resource elements per sub-PRB interlace should be multiple of 12</w:t>
      </w:r>
      <w:r w:rsidR="00E43E8C">
        <w:rPr>
          <w:i/>
          <w:iCs/>
          <w:lang w:val="en-US"/>
        </w:rPr>
        <w:t>.</w:t>
      </w:r>
    </w:p>
    <w:p w14:paraId="389D62EB" w14:textId="09EAF5BA" w:rsidR="00ED7136" w:rsidRPr="00E43E8C" w:rsidRDefault="00ED7136" w:rsidP="00ED7136">
      <w:pPr>
        <w:spacing w:after="0"/>
        <w:jc w:val="both"/>
        <w:rPr>
          <w:i/>
          <w:iCs/>
          <w:lang w:val="en-US"/>
        </w:rPr>
      </w:pPr>
      <w:r w:rsidRPr="00FD57D9">
        <w:rPr>
          <w:b/>
          <w:bCs/>
          <w:i/>
          <w:iCs/>
          <w:lang w:val="en-US"/>
        </w:rPr>
        <w:t xml:space="preserve">Proposal </w:t>
      </w:r>
      <w:r w:rsidR="005E5D4A">
        <w:rPr>
          <w:b/>
          <w:bCs/>
          <w:i/>
          <w:iCs/>
          <w:lang w:val="en-US"/>
        </w:rPr>
        <w:t>7</w:t>
      </w:r>
      <w:r w:rsidRPr="00FD57D9">
        <w:rPr>
          <w:b/>
          <w:bCs/>
          <w:i/>
          <w:iCs/>
          <w:lang w:val="en-US"/>
        </w:rPr>
        <w:t>:</w:t>
      </w:r>
      <w:r>
        <w:rPr>
          <w:b/>
          <w:bCs/>
          <w:i/>
          <w:iCs/>
          <w:lang w:val="en-US"/>
        </w:rPr>
        <w:t xml:space="preserve"> </w:t>
      </w:r>
      <w:r>
        <w:rPr>
          <w:i/>
          <w:iCs/>
          <w:lang w:val="en-US"/>
        </w:rPr>
        <w:t>Compared to legacy LTE/NR, NR-U should not introduce new DFT size options for DFT-S-OFDM</w:t>
      </w:r>
      <w:r w:rsidR="00E43E8C">
        <w:rPr>
          <w:i/>
          <w:iCs/>
          <w:lang w:val="en-US"/>
        </w:rPr>
        <w:t>.</w:t>
      </w:r>
    </w:p>
    <w:p w14:paraId="08E895EF" w14:textId="77777777" w:rsidR="00ED7136" w:rsidRDefault="00ED7136" w:rsidP="00ED7136">
      <w:pPr>
        <w:spacing w:after="0"/>
        <w:jc w:val="both"/>
        <w:rPr>
          <w:rFonts w:eastAsia="Batang"/>
          <w:b/>
          <w:bCs/>
          <w:kern w:val="2"/>
          <w:sz w:val="22"/>
          <w:szCs w:val="22"/>
          <w:lang w:val="en-US" w:eastAsia="ko-KR"/>
        </w:rPr>
      </w:pPr>
    </w:p>
    <w:p w14:paraId="10165F54" w14:textId="639ADEDA" w:rsidR="00ED7136" w:rsidRDefault="00ED7136" w:rsidP="00E43E8C">
      <w:pPr>
        <w:spacing w:after="120"/>
        <w:jc w:val="both"/>
        <w:rPr>
          <w:rFonts w:eastAsia="Batang"/>
          <w:b/>
          <w:bCs/>
          <w:kern w:val="2"/>
          <w:sz w:val="22"/>
          <w:szCs w:val="22"/>
          <w:lang w:val="en-US" w:eastAsia="ko-KR"/>
        </w:rPr>
      </w:pPr>
      <w:r>
        <w:rPr>
          <w:rFonts w:eastAsia="Batang"/>
          <w:b/>
          <w:bCs/>
          <w:kern w:val="2"/>
          <w:sz w:val="22"/>
          <w:szCs w:val="22"/>
          <w:lang w:val="en-US" w:eastAsia="ko-KR"/>
        </w:rPr>
        <w:t>Reference signal:</w:t>
      </w:r>
    </w:p>
    <w:p w14:paraId="3A7BE2FD" w14:textId="19B26D8C" w:rsidR="00ED7136" w:rsidRDefault="00ED7136" w:rsidP="00E43E8C">
      <w:pPr>
        <w:spacing w:after="120"/>
        <w:jc w:val="both"/>
        <w:rPr>
          <w:rFonts w:cs="Arial"/>
        </w:rPr>
      </w:pPr>
      <w:r>
        <w:rPr>
          <w:rFonts w:cs="Arial"/>
        </w:rPr>
        <w:t>Reference signal design (e.g. DMRS) was mentioned as another issue for sub-PRB design with specification impacts [</w:t>
      </w:r>
      <w:r w:rsidR="000F7FAB">
        <w:rPr>
          <w:rFonts w:cs="Arial"/>
        </w:rPr>
        <w:t>8</w:t>
      </w:r>
      <w:r>
        <w:rPr>
          <w:rFonts w:cs="Arial"/>
        </w:rPr>
        <w:t xml:space="preserve">]. </w:t>
      </w:r>
    </w:p>
    <w:p w14:paraId="451A019D" w14:textId="58CAEBAE" w:rsidR="00DE1B85" w:rsidRDefault="00ED7136" w:rsidP="00E43E8C">
      <w:pPr>
        <w:spacing w:after="120"/>
        <w:jc w:val="both"/>
        <w:rPr>
          <w:rFonts w:cs="Arial"/>
        </w:rPr>
      </w:pPr>
      <w:r>
        <w:rPr>
          <w:rFonts w:cs="Arial"/>
        </w:rPr>
        <w:t>When using DFT-S-OFDM waveform, the DMRS sequence can be mapped to the sub-PRB interlace similarly as in the case of PRB-based interlace. For example, in the case of single interlace with 60 kHz SCS, DMRS sequence of length 60 is mapped to 60 REs of the sub-PRB interlace. Based on that, there seems to be no RS issues with the sub-PRB interlace when using DFT-S-OFDM waveform.</w:t>
      </w:r>
    </w:p>
    <w:p w14:paraId="5D780CAC" w14:textId="70336A4B" w:rsidR="00ED7136" w:rsidRDefault="00ED7136" w:rsidP="00ED7136">
      <w:pPr>
        <w:spacing w:after="0"/>
        <w:jc w:val="both"/>
        <w:rPr>
          <w:lang w:eastAsia="zh-CN"/>
        </w:rPr>
      </w:pPr>
      <w:r>
        <w:rPr>
          <w:rFonts w:cs="Arial"/>
        </w:rPr>
        <w:t xml:space="preserve">When using CP-OFDM waveform, the DMRS sequence can be mapped according to Type-1 pattern, or Type-2 pattern </w:t>
      </w:r>
      <w:r w:rsidR="00E43E8C">
        <w:rPr>
          <w:rFonts w:cs="Arial"/>
        </w:rPr>
        <w:t xml:space="preserve">as </w:t>
      </w:r>
      <w:r>
        <w:rPr>
          <w:rFonts w:cs="Arial"/>
        </w:rPr>
        <w:t>shown in Figure 2. The DMRS is mapped only for REs occupied by the sub-PRB interlace.</w:t>
      </w:r>
      <w:r w:rsidRPr="005B7A2E">
        <w:rPr>
          <w:lang w:eastAsia="zh-CN"/>
        </w:rPr>
        <w:t xml:space="preserve"> </w:t>
      </w:r>
    </w:p>
    <w:p w14:paraId="618B12CD" w14:textId="6A45DB0A"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 xml:space="preserve">Type-1: The current mapping can support up-to two DMRS antenna ports per OFDM symbol. OCC is not available for sub-PRB case since it is crossing the sub-PRB </w:t>
      </w:r>
      <w:r w:rsidR="00E43E8C">
        <w:rPr>
          <w:rFonts w:eastAsia="SimSun"/>
          <w:sz w:val="20"/>
          <w:szCs w:val="20"/>
          <w:lang w:eastAsia="zh-CN"/>
        </w:rPr>
        <w:t xml:space="preserve">cluster </w:t>
      </w:r>
      <w:r>
        <w:rPr>
          <w:rFonts w:eastAsia="SimSun"/>
          <w:sz w:val="20"/>
          <w:szCs w:val="20"/>
          <w:lang w:eastAsia="zh-CN"/>
        </w:rPr>
        <w:t>borderline.</w:t>
      </w:r>
    </w:p>
    <w:p w14:paraId="23AF083E" w14:textId="5BE36D72" w:rsidR="00ED7136" w:rsidRPr="00E43E8C" w:rsidRDefault="00ED7136" w:rsidP="00921786">
      <w:pPr>
        <w:pStyle w:val="LGTdoc"/>
        <w:numPr>
          <w:ilvl w:val="0"/>
          <w:numId w:val="39"/>
        </w:numPr>
        <w:spacing w:afterLines="0" w:after="120" w:line="240" w:lineRule="auto"/>
        <w:ind w:left="816" w:hanging="357"/>
        <w:rPr>
          <w:rFonts w:eastAsia="SimSun"/>
          <w:sz w:val="20"/>
          <w:szCs w:val="20"/>
          <w:lang w:eastAsia="zh-CN"/>
        </w:rPr>
      </w:pPr>
      <w:r>
        <w:rPr>
          <w:rFonts w:eastAsia="SimSun"/>
          <w:sz w:val="20"/>
          <w:szCs w:val="20"/>
          <w:lang w:eastAsia="zh-CN"/>
        </w:rPr>
        <w:t xml:space="preserve">Type-2: The current mapping can support up-to six DMRS antenna ports per OFDM symbol. Hence, the proposed sub-PRB interlace has the same DRMS capability as PRB-based interlace. </w:t>
      </w:r>
    </w:p>
    <w:p w14:paraId="0CDBFE0E" w14:textId="1257AB13" w:rsidR="00ED7136" w:rsidRDefault="00ED7136" w:rsidP="00CF471A">
      <w:pPr>
        <w:spacing w:after="120"/>
        <w:jc w:val="both"/>
        <w:rPr>
          <w:i/>
          <w:iCs/>
          <w:lang w:val="en-US"/>
        </w:rPr>
      </w:pPr>
      <w:r>
        <w:rPr>
          <w:b/>
          <w:bCs/>
          <w:i/>
          <w:iCs/>
          <w:lang w:val="en-US"/>
        </w:rPr>
        <w:t>Observation 1</w:t>
      </w:r>
      <w:r w:rsidRPr="00FD57D9">
        <w:rPr>
          <w:b/>
          <w:bCs/>
          <w:i/>
          <w:iCs/>
          <w:lang w:val="en-US"/>
        </w:rPr>
        <w:t>:</w:t>
      </w:r>
      <w:r>
        <w:rPr>
          <w:b/>
          <w:bCs/>
          <w:i/>
          <w:iCs/>
          <w:lang w:val="en-US"/>
        </w:rPr>
        <w:t xml:space="preserve"> </w:t>
      </w:r>
      <w:r>
        <w:rPr>
          <w:i/>
          <w:iCs/>
          <w:lang w:val="en-US"/>
        </w:rPr>
        <w:t>PUSCH DMRS defined for DFT-S-OFDM supports sub-PRB interlace</w:t>
      </w:r>
      <w:r w:rsidR="00E43E8C">
        <w:rPr>
          <w:i/>
          <w:iCs/>
          <w:lang w:val="en-US"/>
        </w:rPr>
        <w:t>.</w:t>
      </w:r>
      <w:r>
        <w:rPr>
          <w:i/>
          <w:iCs/>
          <w:lang w:val="en-US"/>
        </w:rPr>
        <w:t xml:space="preserve"> </w:t>
      </w:r>
    </w:p>
    <w:p w14:paraId="6EAE1628" w14:textId="15E1940D" w:rsidR="00ED7136" w:rsidRDefault="00ED7136" w:rsidP="00CF471A">
      <w:pPr>
        <w:spacing w:after="120"/>
        <w:jc w:val="both"/>
        <w:rPr>
          <w:i/>
          <w:iCs/>
          <w:lang w:val="en-US"/>
        </w:rPr>
      </w:pPr>
      <w:r>
        <w:rPr>
          <w:b/>
          <w:bCs/>
          <w:i/>
          <w:iCs/>
          <w:lang w:val="en-US"/>
        </w:rPr>
        <w:t>Observation 2</w:t>
      </w:r>
      <w:r w:rsidRPr="00FD57D9">
        <w:rPr>
          <w:b/>
          <w:bCs/>
          <w:i/>
          <w:iCs/>
          <w:lang w:val="en-US"/>
        </w:rPr>
        <w:t>:</w:t>
      </w:r>
      <w:r>
        <w:rPr>
          <w:b/>
          <w:bCs/>
          <w:i/>
          <w:iCs/>
          <w:lang w:val="en-US"/>
        </w:rPr>
        <w:t xml:space="preserve"> </w:t>
      </w:r>
      <w:r>
        <w:rPr>
          <w:i/>
          <w:iCs/>
          <w:lang w:val="en-US"/>
        </w:rPr>
        <w:t>PUSCH Type-</w:t>
      </w:r>
      <w:r w:rsidR="00521C31">
        <w:rPr>
          <w:i/>
          <w:iCs/>
          <w:lang w:val="en-US"/>
        </w:rPr>
        <w:t>1</w:t>
      </w:r>
      <w:r>
        <w:rPr>
          <w:i/>
          <w:iCs/>
          <w:lang w:val="en-US"/>
        </w:rPr>
        <w:t xml:space="preserve"> DMRS defined for CP-OFDM supports sub-PRB interlace with reduced number of DMRS antenna ports</w:t>
      </w:r>
      <w:r w:rsidR="00E43E8C">
        <w:rPr>
          <w:i/>
          <w:iCs/>
          <w:lang w:val="en-US"/>
        </w:rPr>
        <w:t>.</w:t>
      </w:r>
    </w:p>
    <w:p w14:paraId="2794E9C7" w14:textId="73D6F752" w:rsidR="00ED7136" w:rsidRDefault="00ED7136" w:rsidP="00ED7136">
      <w:pPr>
        <w:spacing w:after="0"/>
        <w:jc w:val="both"/>
        <w:rPr>
          <w:i/>
          <w:iCs/>
          <w:lang w:val="en-US"/>
        </w:rPr>
      </w:pPr>
      <w:r>
        <w:rPr>
          <w:b/>
          <w:bCs/>
          <w:i/>
          <w:iCs/>
          <w:lang w:val="en-US"/>
        </w:rPr>
        <w:t>Observation 3</w:t>
      </w:r>
      <w:r w:rsidRPr="00FD57D9">
        <w:rPr>
          <w:b/>
          <w:bCs/>
          <w:i/>
          <w:iCs/>
          <w:lang w:val="en-US"/>
        </w:rPr>
        <w:t>:</w:t>
      </w:r>
      <w:r>
        <w:rPr>
          <w:b/>
          <w:bCs/>
          <w:i/>
          <w:iCs/>
          <w:lang w:val="en-US"/>
        </w:rPr>
        <w:t xml:space="preserve"> </w:t>
      </w:r>
      <w:r>
        <w:rPr>
          <w:i/>
          <w:iCs/>
          <w:lang w:val="en-US"/>
        </w:rPr>
        <w:t>PUSCH Type-2 DMRS defined for CP-OFDM supports sub-PRB interlace</w:t>
      </w:r>
      <w:r w:rsidR="00E43E8C">
        <w:rPr>
          <w:i/>
          <w:iCs/>
          <w:lang w:val="en-US"/>
        </w:rPr>
        <w:t>.</w:t>
      </w:r>
    </w:p>
    <w:p w14:paraId="71CA103B" w14:textId="77777777" w:rsidR="00ED7136" w:rsidRDefault="00ED7136" w:rsidP="00ED7136">
      <w:pPr>
        <w:spacing w:after="0"/>
        <w:jc w:val="center"/>
        <w:rPr>
          <w:rFonts w:cs="Arial"/>
        </w:rPr>
      </w:pPr>
      <w:r>
        <w:rPr>
          <w:noProof/>
        </w:rPr>
        <w:drawing>
          <wp:inline distT="0" distB="0" distL="0" distR="0" wp14:anchorId="6A80C856" wp14:editId="69927D48">
            <wp:extent cx="3464092" cy="2099847"/>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78692" cy="2108697"/>
                    </a:xfrm>
                    <a:prstGeom prst="rect">
                      <a:avLst/>
                    </a:prstGeom>
                  </pic:spPr>
                </pic:pic>
              </a:graphicData>
            </a:graphic>
          </wp:inline>
        </w:drawing>
      </w:r>
    </w:p>
    <w:p w14:paraId="6FDD8E75" w14:textId="77777777" w:rsidR="00ED7136" w:rsidRDefault="00ED7136" w:rsidP="00ED7136">
      <w:pPr>
        <w:spacing w:after="0"/>
        <w:jc w:val="center"/>
        <w:rPr>
          <w:rFonts w:cs="Arial"/>
        </w:rPr>
      </w:pPr>
    </w:p>
    <w:p w14:paraId="21AF156B" w14:textId="77777777" w:rsidR="00ED7136" w:rsidRDefault="00ED7136" w:rsidP="00501279">
      <w:pPr>
        <w:pStyle w:val="Caption"/>
        <w:spacing w:before="0" w:after="0"/>
        <w:jc w:val="center"/>
      </w:pPr>
      <w:r>
        <w:t xml:space="preserve">Figure </w:t>
      </w:r>
      <w:r>
        <w:fldChar w:fldCharType="begin"/>
      </w:r>
      <w:r>
        <w:instrText xml:space="preserve"> SEQ Figure \* ARABIC </w:instrText>
      </w:r>
      <w:r>
        <w:fldChar w:fldCharType="separate"/>
      </w:r>
      <w:r>
        <w:rPr>
          <w:noProof/>
        </w:rPr>
        <w:t>2</w:t>
      </w:r>
      <w:r>
        <w:fldChar w:fldCharType="end"/>
      </w:r>
      <w:r>
        <w:t>. The available DMRS patterns for CP-OFDM</w:t>
      </w:r>
    </w:p>
    <w:p w14:paraId="1675C568" w14:textId="77777777" w:rsidR="00501279" w:rsidRDefault="00501279" w:rsidP="00501279">
      <w:pPr>
        <w:spacing w:after="0"/>
        <w:jc w:val="both"/>
        <w:rPr>
          <w:rFonts w:eastAsia="Batang"/>
          <w:b/>
          <w:bCs/>
          <w:kern w:val="2"/>
          <w:sz w:val="22"/>
          <w:szCs w:val="22"/>
          <w:lang w:val="en-US" w:eastAsia="ko-KR"/>
        </w:rPr>
      </w:pPr>
    </w:p>
    <w:p w14:paraId="282E76CB" w14:textId="6DD81A4C" w:rsidR="00805C34" w:rsidRDefault="00805C34" w:rsidP="00805C34">
      <w:pPr>
        <w:spacing w:after="120"/>
        <w:jc w:val="both"/>
        <w:rPr>
          <w:rFonts w:eastAsia="Batang"/>
          <w:b/>
          <w:bCs/>
          <w:kern w:val="2"/>
          <w:sz w:val="22"/>
          <w:szCs w:val="22"/>
          <w:lang w:val="en-US" w:eastAsia="ko-KR"/>
        </w:rPr>
      </w:pPr>
      <w:r>
        <w:rPr>
          <w:rFonts w:eastAsia="Batang"/>
          <w:b/>
          <w:bCs/>
          <w:kern w:val="2"/>
          <w:sz w:val="22"/>
          <w:szCs w:val="22"/>
          <w:lang w:val="en-US" w:eastAsia="ko-KR"/>
        </w:rPr>
        <w:t>Channel estimation:</w:t>
      </w:r>
    </w:p>
    <w:p w14:paraId="650FD910" w14:textId="74D9B403" w:rsidR="008E3A88" w:rsidRDefault="00805C34" w:rsidP="00921786">
      <w:pPr>
        <w:spacing w:after="120"/>
        <w:jc w:val="both"/>
        <w:rPr>
          <w:rFonts w:cs="Arial"/>
        </w:rPr>
      </w:pPr>
      <w:r>
        <w:rPr>
          <w:rFonts w:cs="Arial"/>
        </w:rPr>
        <w:t>Channel estimation was also mentioned as a potential issue for sub-PRB design in [8].</w:t>
      </w:r>
      <w:r w:rsidR="00A038FF">
        <w:rPr>
          <w:rFonts w:cs="Arial"/>
        </w:rPr>
        <w:t xml:space="preserve"> The channel estimation impact in was simulated by comparing BLER for 60 kHz SCS sub-PRB interlace shown in Table 1 (6 REs per cluster) against localized PUSCH and, on other hand, against sub-PRB interlace having 20 equally-spaced clusters of 180 kHz (3</w:t>
      </w:r>
      <w:r w:rsidR="00A038FF" w:rsidRPr="00A038FF">
        <w:rPr>
          <w:rFonts w:cs="Arial"/>
        </w:rPr>
        <w:t xml:space="preserve"> REs)</w:t>
      </w:r>
      <w:r w:rsidR="00A038FF">
        <w:rPr>
          <w:rFonts w:cs="Arial"/>
        </w:rPr>
        <w:t>.</w:t>
      </w:r>
      <w:r w:rsidR="008E3A88">
        <w:rPr>
          <w:rFonts w:cs="Arial"/>
        </w:rPr>
        <w:t xml:space="preserve"> The</w:t>
      </w:r>
      <w:r w:rsidR="00501279">
        <w:rPr>
          <w:rFonts w:cs="Arial"/>
        </w:rPr>
        <w:t xml:space="preserve"> results are shown in Figure 3 and the</w:t>
      </w:r>
      <w:r w:rsidR="008E3A88">
        <w:rPr>
          <w:rFonts w:cs="Arial"/>
        </w:rPr>
        <w:t xml:space="preserve"> main simulation parameters are listed in Appendix 2. All simulated allocations contained 5 PRBs.</w:t>
      </w:r>
      <w:r w:rsidR="00A038FF">
        <w:rPr>
          <w:rFonts w:cs="Arial"/>
        </w:rPr>
        <w:t xml:space="preserve"> </w:t>
      </w:r>
      <w:r w:rsidR="00E360A3">
        <w:rPr>
          <w:rFonts w:cs="Arial"/>
        </w:rPr>
        <w:t xml:space="preserve">The number of pilot symbols per slot was optimized separately for each PUSCH option. </w:t>
      </w:r>
      <w:r w:rsidR="008E3A88">
        <w:rPr>
          <w:rFonts w:cs="Arial"/>
        </w:rPr>
        <w:t xml:space="preserve">To emphasize the impact of channel estimation, low SNR values were considered. </w:t>
      </w:r>
    </w:p>
    <w:p w14:paraId="39EBDB31" w14:textId="272FDEF7" w:rsidR="00E360A3" w:rsidRDefault="00E360A3" w:rsidP="00921786">
      <w:pPr>
        <w:jc w:val="both"/>
        <w:rPr>
          <w:rFonts w:cs="Arial"/>
        </w:rPr>
      </w:pPr>
      <w:r>
        <w:rPr>
          <w:rFonts w:cs="Arial"/>
        </w:rPr>
        <w:t>It can be seen that BLER for sub-PRB interlace (6 REs per cluster) remains within 1 dB from BLER of localized PUSCH</w:t>
      </w:r>
      <w:r w:rsidR="0046061A">
        <w:rPr>
          <w:rFonts w:cs="Arial"/>
        </w:rPr>
        <w:t xml:space="preserve"> even for sub-zero SNR.</w:t>
      </w:r>
      <w:r>
        <w:rPr>
          <w:rFonts w:cs="Arial"/>
        </w:rPr>
        <w:t xml:space="preserve"> </w:t>
      </w:r>
      <w:r w:rsidR="0046061A">
        <w:rPr>
          <w:rFonts w:cs="Arial"/>
        </w:rPr>
        <w:t xml:space="preserve">Localized PUSCH can be seen to </w:t>
      </w:r>
      <w:r>
        <w:rPr>
          <w:rFonts w:cs="Arial"/>
        </w:rPr>
        <w:t>provid</w:t>
      </w:r>
      <w:r w:rsidR="0046061A">
        <w:rPr>
          <w:rFonts w:cs="Arial"/>
        </w:rPr>
        <w:t>e</w:t>
      </w:r>
      <w:r>
        <w:rPr>
          <w:rFonts w:cs="Arial"/>
        </w:rPr>
        <w:t xml:space="preserve"> a performance bound in terms of channel estimation. The channel estimation loss increases for the further reduced cluster size (3 REs per cluster) but remains acceptable. Based on the results, the proposed sub-PRB interlace design</w:t>
      </w:r>
      <w:r w:rsidR="00F3726C">
        <w:rPr>
          <w:rFonts w:cs="Arial"/>
        </w:rPr>
        <w:t xml:space="preserve"> with 6 REs per cluster</w:t>
      </w:r>
      <w:r>
        <w:rPr>
          <w:rFonts w:cs="Arial"/>
        </w:rPr>
        <w:t xml:space="preserve"> supports sufficient channel estimation. </w:t>
      </w:r>
    </w:p>
    <w:p w14:paraId="7D8FA83D" w14:textId="77777777" w:rsidR="00501279" w:rsidRDefault="00E360A3" w:rsidP="00921786">
      <w:pPr>
        <w:spacing w:after="120"/>
        <w:jc w:val="both"/>
        <w:rPr>
          <w:rFonts w:cs="Arial"/>
        </w:rPr>
      </w:pPr>
      <w:r>
        <w:rPr>
          <w:b/>
          <w:bCs/>
          <w:i/>
          <w:iCs/>
          <w:lang w:val="en-US"/>
        </w:rPr>
        <w:t>Observation 4</w:t>
      </w:r>
      <w:r w:rsidRPr="00FD57D9">
        <w:rPr>
          <w:b/>
          <w:bCs/>
          <w:i/>
          <w:iCs/>
          <w:lang w:val="en-US"/>
        </w:rPr>
        <w:t>:</w:t>
      </w:r>
      <w:r>
        <w:rPr>
          <w:b/>
          <w:bCs/>
          <w:i/>
          <w:iCs/>
          <w:lang w:val="en-US"/>
        </w:rPr>
        <w:t xml:space="preserve"> </w:t>
      </w:r>
      <w:r w:rsidR="00501279">
        <w:rPr>
          <w:i/>
          <w:iCs/>
          <w:lang w:val="en-US"/>
        </w:rPr>
        <w:t>Sub-PRB interlace with 6 REs per cluster supports sufficient channel estimation.</w:t>
      </w:r>
      <w:r>
        <w:rPr>
          <w:rFonts w:cs="Arial"/>
        </w:rPr>
        <w:t xml:space="preserve">  </w:t>
      </w:r>
    </w:p>
    <w:p w14:paraId="199775B7" w14:textId="0F16ED06" w:rsidR="00805C34" w:rsidRDefault="00A038FF" w:rsidP="00501279">
      <w:pPr>
        <w:spacing w:after="0"/>
        <w:jc w:val="both"/>
        <w:rPr>
          <w:rFonts w:cs="Arial"/>
        </w:rPr>
      </w:pPr>
      <w:r w:rsidRPr="00A038FF">
        <w:rPr>
          <w:rFonts w:cs="Arial"/>
        </w:rPr>
        <w:t xml:space="preserve"> </w:t>
      </w:r>
      <w:r>
        <w:rPr>
          <w:rFonts w:cs="Arial"/>
        </w:rPr>
        <w:t xml:space="preserve"> </w:t>
      </w:r>
    </w:p>
    <w:p w14:paraId="19F1DF6B" w14:textId="5D610C1B" w:rsidR="00ED7136" w:rsidRDefault="00805C34" w:rsidP="00805C34">
      <w:pPr>
        <w:spacing w:after="0"/>
        <w:jc w:val="both"/>
        <w:rPr>
          <w:rFonts w:cs="Arial"/>
        </w:rPr>
      </w:pPr>
      <w:r>
        <w:rPr>
          <w:rFonts w:cs="Arial"/>
        </w:rPr>
        <w:t xml:space="preserve"> </w:t>
      </w:r>
      <w:r>
        <w:rPr>
          <w:rFonts w:cs="Arial"/>
          <w:noProof/>
        </w:rPr>
        <w:drawing>
          <wp:inline distT="0" distB="0" distL="0" distR="0" wp14:anchorId="23F7803F" wp14:editId="075A0904">
            <wp:extent cx="3034800" cy="191520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r_5GHz_cdld20ns_3kmh_scs60kHz_3dB_5RB_5GHz_LDPC.png"/>
                    <pic:cNvPicPr/>
                  </pic:nvPicPr>
                  <pic:blipFill>
                    <a:blip r:embed="rId17">
                      <a:extLst>
                        <a:ext uri="{28A0092B-C50C-407E-A947-70E740481C1C}">
                          <a14:useLocalDpi xmlns:a14="http://schemas.microsoft.com/office/drawing/2010/main" val="0"/>
                        </a:ext>
                      </a:extLst>
                    </a:blip>
                    <a:stretch>
                      <a:fillRect/>
                    </a:stretch>
                  </pic:blipFill>
                  <pic:spPr>
                    <a:xfrm>
                      <a:off x="0" y="0"/>
                      <a:ext cx="3034800" cy="1915200"/>
                    </a:xfrm>
                    <a:prstGeom prst="rect">
                      <a:avLst/>
                    </a:prstGeom>
                  </pic:spPr>
                </pic:pic>
              </a:graphicData>
            </a:graphic>
          </wp:inline>
        </w:drawing>
      </w:r>
      <w:r>
        <w:rPr>
          <w:rFonts w:cs="Arial"/>
          <w:noProof/>
        </w:rPr>
        <w:drawing>
          <wp:inline distT="0" distB="0" distL="0" distR="0" wp14:anchorId="4158D093" wp14:editId="24189035">
            <wp:extent cx="3034800" cy="191520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er_5GHz_cdla39ns_3kmh_scs60kHz_3dB_5RB_5GHz_LDPC.png"/>
                    <pic:cNvPicPr/>
                  </pic:nvPicPr>
                  <pic:blipFill>
                    <a:blip r:embed="rId18">
                      <a:extLst>
                        <a:ext uri="{28A0092B-C50C-407E-A947-70E740481C1C}">
                          <a14:useLocalDpi xmlns:a14="http://schemas.microsoft.com/office/drawing/2010/main" val="0"/>
                        </a:ext>
                      </a:extLst>
                    </a:blip>
                    <a:stretch>
                      <a:fillRect/>
                    </a:stretch>
                  </pic:blipFill>
                  <pic:spPr>
                    <a:xfrm>
                      <a:off x="0" y="0"/>
                      <a:ext cx="3034800" cy="1915200"/>
                    </a:xfrm>
                    <a:prstGeom prst="rect">
                      <a:avLst/>
                    </a:prstGeom>
                  </pic:spPr>
                </pic:pic>
              </a:graphicData>
            </a:graphic>
          </wp:inline>
        </w:drawing>
      </w:r>
    </w:p>
    <w:p w14:paraId="30F73FE7" w14:textId="7DD0EDBC" w:rsidR="00805C34" w:rsidRDefault="00805C34" w:rsidP="00805C34">
      <w:pPr>
        <w:spacing w:before="20" w:after="0"/>
        <w:jc w:val="center"/>
        <w:rPr>
          <w:rFonts w:cs="Arial"/>
        </w:rPr>
      </w:pPr>
      <w:r>
        <w:rPr>
          <w:rFonts w:cs="Arial"/>
        </w:rPr>
        <w:t xml:space="preserve"> </w:t>
      </w:r>
      <w:r w:rsidRPr="00805C34">
        <w:rPr>
          <w:rFonts w:cs="Arial"/>
        </w:rPr>
        <w:t>A)</w:t>
      </w:r>
      <w:r>
        <w:rPr>
          <w:rFonts w:cs="Arial"/>
        </w:rPr>
        <w:t xml:space="preserve">   </w:t>
      </w:r>
      <w:r>
        <w:rPr>
          <w:rFonts w:cs="Arial"/>
        </w:rPr>
        <w:tab/>
        <w:t xml:space="preserve">                                         B)</w:t>
      </w:r>
    </w:p>
    <w:p w14:paraId="533D3C22" w14:textId="7E48EFDA" w:rsidR="00805C34" w:rsidRPr="00921786" w:rsidRDefault="00805C34" w:rsidP="00921786">
      <w:pPr>
        <w:pStyle w:val="Caption"/>
        <w:jc w:val="center"/>
        <w:rPr>
          <w:b w:val="0"/>
        </w:rPr>
      </w:pPr>
      <w:r>
        <w:t>Figure 3. BLER fpr</w:t>
      </w:r>
      <w:r w:rsidR="00A038FF">
        <w:t xml:space="preserve"> </w:t>
      </w:r>
      <w:r>
        <w:t>sub-PRB interlace with 6 RE</w:t>
      </w:r>
      <w:r w:rsidR="00A038FF">
        <w:t xml:space="preserve"> clusters (interlace B), with 3 RE clusters (interlace A) and</w:t>
      </w:r>
      <w:r>
        <w:t xml:space="preserve"> localized PUSCH</w:t>
      </w:r>
      <w:r w:rsidR="00A038FF">
        <w:t xml:space="preserve"> in A) CDL D 20ns (LOS) and B) CDL A 39ns (nLOS) channels.</w:t>
      </w:r>
    </w:p>
    <w:p w14:paraId="7023CAF8" w14:textId="77777777" w:rsidR="00805C34" w:rsidRPr="00921786" w:rsidRDefault="00805C34" w:rsidP="00ED7136">
      <w:pPr>
        <w:spacing w:after="0"/>
        <w:jc w:val="both"/>
        <w:rPr>
          <w:rFonts w:eastAsia="Batang"/>
          <w:b/>
          <w:bCs/>
          <w:kern w:val="2"/>
          <w:sz w:val="22"/>
          <w:szCs w:val="22"/>
          <w:lang w:eastAsia="ko-KR"/>
        </w:rPr>
      </w:pPr>
    </w:p>
    <w:p w14:paraId="0C2B31EB" w14:textId="6C7C257E" w:rsidR="00ED7136" w:rsidRDefault="00ED7136" w:rsidP="00B961D6">
      <w:pPr>
        <w:spacing w:after="120"/>
        <w:jc w:val="both"/>
        <w:rPr>
          <w:rFonts w:eastAsia="Batang"/>
          <w:b/>
          <w:bCs/>
          <w:kern w:val="2"/>
          <w:sz w:val="22"/>
          <w:szCs w:val="22"/>
          <w:lang w:val="en-US" w:eastAsia="ko-KR"/>
        </w:rPr>
      </w:pPr>
      <w:r>
        <w:rPr>
          <w:rFonts w:eastAsia="Batang"/>
          <w:b/>
          <w:bCs/>
          <w:kern w:val="2"/>
          <w:sz w:val="22"/>
          <w:szCs w:val="22"/>
          <w:lang w:val="en-US" w:eastAsia="ko-KR"/>
        </w:rPr>
        <w:t xml:space="preserve">Non-uniform interlace structure: </w:t>
      </w:r>
    </w:p>
    <w:p w14:paraId="7026BD8A" w14:textId="77777777" w:rsidR="00ED7136" w:rsidRDefault="00ED7136" w:rsidP="00ED7136">
      <w:pPr>
        <w:spacing w:after="0"/>
        <w:jc w:val="both"/>
        <w:rPr>
          <w:rFonts w:eastAsia="Yu Mincho"/>
        </w:rPr>
      </w:pPr>
      <w:r>
        <w:rPr>
          <w:rFonts w:cs="Arial"/>
        </w:rPr>
        <w:t xml:space="preserve">TS 38.101, Table 5.3.2-1 defines the </w:t>
      </w:r>
      <w:r w:rsidRPr="00611CC4">
        <w:rPr>
          <w:rFonts w:eastAsia="Yu Mincho" w:hint="eastAsia"/>
        </w:rPr>
        <w:t xml:space="preserve">transmission bandwidth configuration </w:t>
      </w:r>
      <w:r w:rsidRPr="00611CC4">
        <w:rPr>
          <w:rFonts w:eastAsia="Yu Mincho"/>
        </w:rPr>
        <w:t>N</w:t>
      </w:r>
      <w:r w:rsidRPr="00611CC4">
        <w:rPr>
          <w:rFonts w:eastAsia="Yu Mincho"/>
          <w:vertAlign w:val="subscript"/>
        </w:rPr>
        <w:t>RB</w:t>
      </w:r>
      <w:r w:rsidRPr="00611CC4">
        <w:rPr>
          <w:rFonts w:eastAsia="Yu Mincho"/>
        </w:rPr>
        <w:t xml:space="preserve"> for each subcarrier spacing</w:t>
      </w:r>
      <w:r>
        <w:rPr>
          <w:rFonts w:eastAsia="Yu Mincho"/>
        </w:rPr>
        <w:t xml:space="preserve"> and UE channel bandwidth</w:t>
      </w:r>
      <w:r w:rsidRPr="00611CC4">
        <w:rPr>
          <w:rFonts w:eastAsia="Yu Mincho"/>
        </w:rPr>
        <w:t xml:space="preserve"> </w:t>
      </w:r>
      <w:r>
        <w:rPr>
          <w:rFonts w:eastAsia="Yu Mincho"/>
        </w:rPr>
        <w:t xml:space="preserve">options. From the interlace structure point of view, the most relevant BW configuration corresponds to 20 MHz bandwidth, which is to the sub-band size of considered NR-U scenario. </w:t>
      </w:r>
    </w:p>
    <w:p w14:paraId="194247AE" w14:textId="77777777" w:rsidR="00ED7136" w:rsidRDefault="00ED7136" w:rsidP="00ED7136">
      <w:pPr>
        <w:spacing w:after="0"/>
        <w:jc w:val="both"/>
        <w:rPr>
          <w:rFonts w:eastAsia="Yu Mincho"/>
        </w:rPr>
      </w:pPr>
    </w:p>
    <w:p w14:paraId="1EC48B18" w14:textId="77777777" w:rsidR="00ED7136" w:rsidRDefault="00ED7136" w:rsidP="00ED7136">
      <w:pPr>
        <w:spacing w:after="0"/>
        <w:jc w:val="center"/>
        <w:rPr>
          <w:rFonts w:eastAsia="Yu Mincho"/>
        </w:rPr>
      </w:pPr>
      <w:r>
        <w:rPr>
          <w:noProof/>
        </w:rPr>
        <w:drawing>
          <wp:inline distT="0" distB="0" distL="0" distR="0" wp14:anchorId="33DD1E88" wp14:editId="44E9060C">
            <wp:extent cx="5292892" cy="1096350"/>
            <wp:effectExtent l="0" t="0" r="317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08394" cy="1099561"/>
                    </a:xfrm>
                    <a:prstGeom prst="rect">
                      <a:avLst/>
                    </a:prstGeom>
                  </pic:spPr>
                </pic:pic>
              </a:graphicData>
            </a:graphic>
          </wp:inline>
        </w:drawing>
      </w:r>
    </w:p>
    <w:p w14:paraId="7518E9FD" w14:textId="77777777" w:rsidR="00ED7136" w:rsidRDefault="00ED7136" w:rsidP="00ED7136">
      <w:pPr>
        <w:spacing w:after="0"/>
        <w:jc w:val="both"/>
        <w:rPr>
          <w:rFonts w:eastAsia="Yu Mincho"/>
        </w:rPr>
      </w:pPr>
    </w:p>
    <w:p w14:paraId="57D579AF" w14:textId="32919316" w:rsidR="00ED7136" w:rsidRDefault="00ED7136" w:rsidP="00ED7136">
      <w:pPr>
        <w:spacing w:after="0"/>
        <w:jc w:val="both"/>
        <w:rPr>
          <w:rFonts w:eastAsia="Yu Mincho"/>
        </w:rPr>
      </w:pPr>
      <w:r>
        <w:rPr>
          <w:rFonts w:eastAsia="Yu Mincho"/>
        </w:rPr>
        <w:t xml:space="preserve">Figure </w:t>
      </w:r>
      <w:r w:rsidR="00501279">
        <w:rPr>
          <w:rFonts w:eastAsia="Yu Mincho"/>
        </w:rPr>
        <w:t>4</w:t>
      </w:r>
      <w:r>
        <w:rPr>
          <w:rFonts w:eastAsia="Yu Mincho"/>
        </w:rPr>
        <w:t xml:space="preserve"> illustrates the differences between uniform non-uniform interlace structures: PRBs shown as blue represents interlaces with uniform structure, and yellow PRBs are the extra PRBs achievable by the non-uniform structure according to Table 5.3.2-1.   </w:t>
      </w:r>
    </w:p>
    <w:p w14:paraId="33AA0245" w14:textId="77777777" w:rsidR="00ED7136" w:rsidRDefault="00ED7136" w:rsidP="00ED7136">
      <w:pPr>
        <w:spacing w:after="0"/>
        <w:jc w:val="both"/>
        <w:rPr>
          <w:rFonts w:eastAsia="Yu Mincho"/>
        </w:rPr>
      </w:pPr>
    </w:p>
    <w:p w14:paraId="1C25E6C9" w14:textId="77777777" w:rsidR="00ED7136" w:rsidRDefault="00ED7136" w:rsidP="00ED7136">
      <w:pPr>
        <w:spacing w:after="0"/>
        <w:jc w:val="both"/>
        <w:rPr>
          <w:lang w:val="en-US"/>
        </w:rPr>
      </w:pPr>
      <w:r>
        <w:rPr>
          <w:noProof/>
        </w:rPr>
        <w:drawing>
          <wp:inline distT="0" distB="0" distL="0" distR="0" wp14:anchorId="3A99CE81" wp14:editId="39940407">
            <wp:extent cx="6210935" cy="21469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0935" cy="2146935"/>
                    </a:xfrm>
                    <a:prstGeom prst="rect">
                      <a:avLst/>
                    </a:prstGeom>
                  </pic:spPr>
                </pic:pic>
              </a:graphicData>
            </a:graphic>
          </wp:inline>
        </w:drawing>
      </w:r>
    </w:p>
    <w:p w14:paraId="75137F10" w14:textId="15C49227" w:rsidR="00ED7136" w:rsidRDefault="00ED7136" w:rsidP="00ED7136">
      <w:pPr>
        <w:pStyle w:val="Caption"/>
        <w:spacing w:before="0"/>
        <w:jc w:val="center"/>
      </w:pPr>
      <w:r>
        <w:t xml:space="preserve">Figure </w:t>
      </w:r>
      <w:r w:rsidR="00501279">
        <w:t>4</w:t>
      </w:r>
      <w:r>
        <w:t>. Extra PRBs due to non-uniform interlace structure @ 20 MHz.</w:t>
      </w:r>
    </w:p>
    <w:p w14:paraId="07FE850C" w14:textId="77777777" w:rsidR="00ED7136" w:rsidRDefault="00ED7136" w:rsidP="00ED7136">
      <w:pPr>
        <w:spacing w:after="0"/>
        <w:jc w:val="both"/>
      </w:pPr>
    </w:p>
    <w:p w14:paraId="4A42D721" w14:textId="386843EF" w:rsidR="00ED7136" w:rsidRDefault="000F7FAB" w:rsidP="00ED7136">
      <w:pPr>
        <w:jc w:val="both"/>
      </w:pPr>
      <w:r>
        <w:rPr>
          <w:bCs/>
          <w:lang w:val="en-US"/>
        </w:rPr>
        <w:t>It is stated in [8</w:t>
      </w:r>
      <w:r w:rsidR="00ED7136" w:rsidRPr="00FE2E54">
        <w:rPr>
          <w:bCs/>
          <w:lang w:val="en-US"/>
        </w:rPr>
        <w:t>] that “</w:t>
      </w:r>
      <w:r w:rsidR="00ED7136" w:rsidRPr="00FE2E54">
        <w:rPr>
          <w:bCs/>
          <w:i/>
          <w:lang w:val="en-US"/>
        </w:rPr>
        <w:t>It is recommended that RAN4 consider the impact of a non-uniform interlace structure, e.g., in terms of MPR, A-MPR, …</w:t>
      </w:r>
      <w:r w:rsidR="00ED7136" w:rsidRPr="00FE2E54">
        <w:rPr>
          <w:bCs/>
          <w:lang w:val="en-US"/>
        </w:rPr>
        <w:t xml:space="preserve">”. </w:t>
      </w:r>
      <w:r w:rsidR="00ED7136">
        <w:t xml:space="preserve">Maximum Power Reduction (MPR) is a concept from LTE and NR. A UE’s maximum uplink TX power is rated according to its power class, e.g. 23 dBm. This means, that the UE must be able to transmit 23 dBm using a pre-defined resource configuration, typically a narrow QPSK signal (few resource blocks). With larger resource allocations (i.e. more PRBs) or higher modulation (i.e. 16/64/256-QAM), a relaxation is allowed to the maximum output power. The specifications should try to minimize the excess MPR, i.e. only allow a relaxation that really is needed for a certain transmission configuration. Additional MPR (A-MPR) means that in some scenarios, the normal MPR definition is not enough to guarantee low enough unwanted emissions, and the output power requirement is further relaxed. </w:t>
      </w:r>
    </w:p>
    <w:p w14:paraId="0143E88E" w14:textId="4D1D7F35" w:rsidR="00ED7136" w:rsidRPr="00FE2E54" w:rsidRDefault="00ED7136" w:rsidP="00B961D6">
      <w:pPr>
        <w:jc w:val="both"/>
        <w:rPr>
          <w:bCs/>
          <w:lang w:val="en-US"/>
        </w:rPr>
      </w:pPr>
      <w:r>
        <w:rPr>
          <w:bCs/>
          <w:lang w:val="en-US"/>
        </w:rPr>
        <w:t xml:space="preserve">We think that there is a need to clarify the UL coverage impact of non-uniform interlace structure. Instead of interlace/interlace combination -specific MPR/A-MPR values, it is preferable to have common MPR/A-MPR value for all allocation options. </w:t>
      </w:r>
      <w:r w:rsidR="00B961D6">
        <w:rPr>
          <w:bCs/>
          <w:lang w:val="en-US"/>
        </w:rPr>
        <w:t>Hence, introduction of non-uniform interlace structure may lead to increased MPR/A-MPR value for all interlaces.</w:t>
      </w:r>
    </w:p>
    <w:p w14:paraId="253D41B7" w14:textId="15F051AD" w:rsidR="00ED7136" w:rsidRDefault="00ED7136" w:rsidP="00ED7136">
      <w:pPr>
        <w:spacing w:after="0"/>
        <w:jc w:val="both"/>
        <w:rPr>
          <w:i/>
          <w:iCs/>
          <w:lang w:val="en-US"/>
        </w:rPr>
      </w:pPr>
      <w:r>
        <w:rPr>
          <w:b/>
          <w:bCs/>
          <w:i/>
          <w:iCs/>
          <w:lang w:val="en-US"/>
        </w:rPr>
        <w:t xml:space="preserve">Proposal </w:t>
      </w:r>
      <w:r w:rsidR="005E5D4A">
        <w:rPr>
          <w:b/>
          <w:bCs/>
          <w:i/>
          <w:iCs/>
          <w:lang w:val="en-US"/>
        </w:rPr>
        <w:t>8</w:t>
      </w:r>
      <w:r w:rsidRPr="00FD57D9">
        <w:rPr>
          <w:b/>
          <w:bCs/>
          <w:i/>
          <w:iCs/>
          <w:lang w:val="en-US"/>
        </w:rPr>
        <w:t>:</w:t>
      </w:r>
      <w:r>
        <w:rPr>
          <w:b/>
          <w:bCs/>
          <w:i/>
          <w:iCs/>
          <w:lang w:val="en-US"/>
        </w:rPr>
        <w:t xml:space="preserve"> </w:t>
      </w:r>
      <w:r>
        <w:rPr>
          <w:i/>
          <w:iCs/>
          <w:lang w:val="en-US"/>
        </w:rPr>
        <w:t>Ask RAN4 to investigate the feasibility of non-uniform interlace structure for PUSCH</w:t>
      </w:r>
      <w:r w:rsidR="00B961D6">
        <w:rPr>
          <w:i/>
          <w:iCs/>
          <w:lang w:val="en-US"/>
        </w:rPr>
        <w:t>.</w:t>
      </w:r>
    </w:p>
    <w:p w14:paraId="3A0ED0D0" w14:textId="77777777" w:rsidR="00ED7136" w:rsidRDefault="00ED7136" w:rsidP="00ED7136">
      <w:pPr>
        <w:spacing w:after="0"/>
        <w:jc w:val="both"/>
        <w:rPr>
          <w:rFonts w:eastAsia="Yu Mincho"/>
          <w:lang w:val="en-US"/>
        </w:rPr>
      </w:pPr>
    </w:p>
    <w:p w14:paraId="656D9DE7" w14:textId="77777777" w:rsidR="00ED7136" w:rsidRPr="006E0C97" w:rsidRDefault="00ED7136" w:rsidP="00ED7136">
      <w:pPr>
        <w:spacing w:after="0"/>
        <w:jc w:val="both"/>
        <w:rPr>
          <w:rFonts w:eastAsia="Yu Mincho"/>
        </w:rPr>
      </w:pPr>
      <w:r>
        <w:rPr>
          <w:rFonts w:eastAsia="Yu Mincho"/>
        </w:rPr>
        <w:t>The main benefit of non-uniform interlace structure is that it provides opportunities for increased spectrum usage efficiency. As can be seen from Figure 3,</w:t>
      </w:r>
    </w:p>
    <w:p w14:paraId="394FA373" w14:textId="77777777"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 xml:space="preserve">With 15 kHz SCS, non-uniform interlace structure provides one additional PRB for 6 interlaces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up-to 6%</w:t>
      </w:r>
      <w:r>
        <w:rPr>
          <w:rFonts w:eastAsia="Yu Mincho"/>
          <w:sz w:val="20"/>
          <w:szCs w:val="20"/>
          <w:lang w:val="en-GB"/>
        </w:rPr>
        <w:t xml:space="preserve"> improvement in terms of spectrum usage efficiency. </w:t>
      </w:r>
      <w:r w:rsidRPr="00A81910">
        <w:rPr>
          <w:rFonts w:eastAsia="Yu Mincho"/>
          <w:sz w:val="20"/>
          <w:szCs w:val="20"/>
          <w:lang w:val="en-GB"/>
        </w:rPr>
        <w:t>On the other hand, it can be noted that 15 kHz SCS is not the most important scenario for NR-U operation.</w:t>
      </w:r>
      <w:r>
        <w:rPr>
          <w:rFonts w:eastAsia="Yu Mincho"/>
          <w:sz w:val="20"/>
          <w:szCs w:val="20"/>
          <w:lang w:val="en-GB"/>
        </w:rPr>
        <w:t xml:space="preserve"> </w:t>
      </w:r>
    </w:p>
    <w:p w14:paraId="3F3E4845" w14:textId="77777777"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 xml:space="preserve">With 30 kHz SCS, non-uniform interlace structure provides one additional PRB for one interlace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only up-to 2%</w:t>
      </w:r>
      <w:r>
        <w:rPr>
          <w:rFonts w:eastAsia="Yu Mincho"/>
          <w:sz w:val="20"/>
          <w:szCs w:val="20"/>
          <w:lang w:val="en-GB"/>
        </w:rPr>
        <w:t xml:space="preserve"> improvement.  </w:t>
      </w:r>
    </w:p>
    <w:p w14:paraId="53676292" w14:textId="77777777"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With</w:t>
      </w:r>
      <w:r w:rsidRPr="006E0C97">
        <w:rPr>
          <w:rFonts w:eastAsia="Yu Mincho"/>
          <w:sz w:val="20"/>
          <w:szCs w:val="20"/>
          <w:lang w:val="en-GB"/>
        </w:rPr>
        <w:t xml:space="preserve"> 60 kHz subcarrier spacing, there is no difference between those two</w:t>
      </w:r>
      <w:r>
        <w:rPr>
          <w:rFonts w:eastAsia="Yu Mincho"/>
          <w:sz w:val="20"/>
          <w:szCs w:val="20"/>
          <w:lang w:val="en-GB"/>
        </w:rPr>
        <w:t xml:space="preserve">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no improvement</w:t>
      </w:r>
      <w:r>
        <w:rPr>
          <w:rFonts w:eastAsia="Yu Mincho"/>
          <w:sz w:val="20"/>
          <w:szCs w:val="20"/>
          <w:lang w:val="en-GB"/>
        </w:rPr>
        <w:t>.</w:t>
      </w:r>
    </w:p>
    <w:p w14:paraId="403D5D45" w14:textId="77777777" w:rsidR="00ED7136" w:rsidRDefault="00ED7136" w:rsidP="00ED7136">
      <w:pPr>
        <w:spacing w:after="0"/>
        <w:jc w:val="both"/>
        <w:rPr>
          <w:rFonts w:eastAsia="Yu Mincho"/>
        </w:rPr>
      </w:pPr>
    </w:p>
    <w:p w14:paraId="0D2FFEEE" w14:textId="77777777" w:rsidR="00ED7136" w:rsidRDefault="00ED7136" w:rsidP="00ED7136">
      <w:pPr>
        <w:spacing w:after="0"/>
        <w:jc w:val="both"/>
        <w:rPr>
          <w:rFonts w:eastAsia="Yu Mincho"/>
        </w:rPr>
      </w:pPr>
      <w:r>
        <w:rPr>
          <w:rFonts w:eastAsia="Yu Mincho"/>
        </w:rPr>
        <w:t>It can be noted that the improved spectrum usage efficiency due to non-uniform interlace structure is not a free lunch:</w:t>
      </w:r>
    </w:p>
    <w:p w14:paraId="0553A24B" w14:textId="77777777" w:rsidR="00ED7136" w:rsidRDefault="00ED7136" w:rsidP="00ED7136">
      <w:pPr>
        <w:pStyle w:val="ListParagraph"/>
        <w:numPr>
          <w:ilvl w:val="0"/>
          <w:numId w:val="75"/>
        </w:numPr>
        <w:jc w:val="both"/>
        <w:rPr>
          <w:rFonts w:eastAsia="Yu Mincho"/>
          <w:sz w:val="20"/>
          <w:lang w:val="en-GB"/>
        </w:rPr>
      </w:pPr>
      <w:r>
        <w:rPr>
          <w:rFonts w:eastAsia="Yu Mincho"/>
          <w:sz w:val="20"/>
          <w:lang w:val="en-GB"/>
        </w:rPr>
        <w:t>I</w:t>
      </w:r>
      <w:r w:rsidRPr="00FE2E54">
        <w:rPr>
          <w:rFonts w:eastAsia="Yu Mincho"/>
          <w:sz w:val="20"/>
          <w:lang w:val="en-GB"/>
        </w:rPr>
        <w:t xml:space="preserve">nterlaces having 11 PRBs in are not compatible with DFT-S-OFDM size options defined for LTE/NR-Rel-15. </w:t>
      </w:r>
      <w:r>
        <w:rPr>
          <w:rFonts w:eastAsia="Yu Mincho"/>
          <w:sz w:val="20"/>
          <w:lang w:val="en-GB"/>
        </w:rPr>
        <w:t>Hence, this is an option available only for CP-OFDM cases.</w:t>
      </w:r>
    </w:p>
    <w:p w14:paraId="7485C2B4" w14:textId="07DC2404" w:rsidR="00ED7136" w:rsidRPr="00753261" w:rsidRDefault="00ED7136" w:rsidP="00ED7136">
      <w:pPr>
        <w:pStyle w:val="ListParagraph"/>
        <w:numPr>
          <w:ilvl w:val="0"/>
          <w:numId w:val="75"/>
        </w:numPr>
        <w:jc w:val="both"/>
        <w:rPr>
          <w:rFonts w:eastAsia="Yu Mincho"/>
          <w:b/>
          <w:sz w:val="20"/>
          <w:lang w:val="en-GB"/>
        </w:rPr>
      </w:pPr>
      <w:r>
        <w:rPr>
          <w:rFonts w:eastAsia="Yu Mincho"/>
          <w:b/>
          <w:sz w:val="20"/>
          <w:lang w:val="en-GB"/>
        </w:rPr>
        <w:t>Non-uniform interlaces may have n</w:t>
      </w:r>
      <w:r w:rsidRPr="00753261">
        <w:rPr>
          <w:rFonts w:eastAsia="Yu Mincho"/>
          <w:b/>
          <w:sz w:val="20"/>
          <w:lang w:val="en-GB"/>
        </w:rPr>
        <w:t>egative impact to UL coverage</w:t>
      </w:r>
      <w:r>
        <w:rPr>
          <w:rFonts w:eastAsia="Yu Mincho"/>
          <w:b/>
          <w:sz w:val="20"/>
          <w:lang w:val="en-GB"/>
        </w:rPr>
        <w:t xml:space="preserve"> of interlace</w:t>
      </w:r>
      <w:r w:rsidR="00B961D6">
        <w:rPr>
          <w:rFonts w:eastAsia="Yu Mincho"/>
          <w:b/>
          <w:sz w:val="20"/>
          <w:lang w:val="en-GB"/>
        </w:rPr>
        <w:t>-</w:t>
      </w:r>
      <w:r>
        <w:rPr>
          <w:rFonts w:eastAsia="Yu Mincho"/>
          <w:b/>
          <w:sz w:val="20"/>
          <w:lang w:val="en-GB"/>
        </w:rPr>
        <w:t>base</w:t>
      </w:r>
      <w:r w:rsidR="00B961D6">
        <w:rPr>
          <w:rFonts w:eastAsia="Yu Mincho"/>
          <w:b/>
          <w:sz w:val="20"/>
          <w:lang w:val="en-GB"/>
        </w:rPr>
        <w:t>d</w:t>
      </w:r>
      <w:r>
        <w:rPr>
          <w:rFonts w:eastAsia="Yu Mincho"/>
          <w:b/>
          <w:sz w:val="20"/>
          <w:lang w:val="en-GB"/>
        </w:rPr>
        <w:t xml:space="preserve"> transmission</w:t>
      </w:r>
      <w:r w:rsidRPr="00753261">
        <w:rPr>
          <w:rFonts w:eastAsia="Yu Mincho"/>
          <w:b/>
          <w:sz w:val="20"/>
          <w:lang w:val="en-GB"/>
        </w:rPr>
        <w:t xml:space="preserve"> (subject to input from RAN4)</w:t>
      </w:r>
      <w:r>
        <w:rPr>
          <w:rFonts w:eastAsia="Yu Mincho"/>
          <w:b/>
          <w:sz w:val="20"/>
          <w:lang w:val="en-GB"/>
        </w:rPr>
        <w:t xml:space="preserve">. </w:t>
      </w:r>
    </w:p>
    <w:p w14:paraId="4A8B5AB7" w14:textId="77777777" w:rsidR="00ED7136" w:rsidRDefault="00ED7136" w:rsidP="00ED7136">
      <w:pPr>
        <w:pStyle w:val="ListParagraph"/>
        <w:numPr>
          <w:ilvl w:val="0"/>
          <w:numId w:val="75"/>
        </w:numPr>
        <w:jc w:val="both"/>
        <w:rPr>
          <w:rFonts w:eastAsia="Yu Mincho"/>
          <w:sz w:val="20"/>
          <w:lang w:val="en-GB"/>
        </w:rPr>
      </w:pPr>
      <w:r>
        <w:rPr>
          <w:rFonts w:eastAsia="Yu Mincho"/>
          <w:sz w:val="20"/>
          <w:lang w:val="en-GB"/>
        </w:rPr>
        <w:t>Non-uniform interlace structure increases the</w:t>
      </w:r>
      <w:r w:rsidRPr="00753261">
        <w:rPr>
          <w:rFonts w:eastAsia="Yu Mincho"/>
          <w:sz w:val="20"/>
          <w:lang w:val="en-GB"/>
        </w:rPr>
        <w:t xml:space="preserve"> system complexity</w:t>
      </w:r>
      <w:r>
        <w:rPr>
          <w:rFonts w:eastAsia="Yu Mincho"/>
          <w:sz w:val="20"/>
          <w:lang w:val="en-GB"/>
        </w:rPr>
        <w:t xml:space="preserve"> and involves</w:t>
      </w:r>
      <w:r w:rsidRPr="00753261">
        <w:rPr>
          <w:rFonts w:eastAsia="Yu Mincho"/>
          <w:sz w:val="20"/>
          <w:lang w:val="en-GB"/>
        </w:rPr>
        <w:t xml:space="preserve"> </w:t>
      </w:r>
      <w:r>
        <w:rPr>
          <w:rFonts w:eastAsia="Yu Mincho"/>
          <w:sz w:val="20"/>
          <w:lang w:val="en-GB"/>
        </w:rPr>
        <w:t>p</w:t>
      </w:r>
      <w:r w:rsidRPr="00753261">
        <w:rPr>
          <w:rFonts w:eastAsia="Yu Mincho"/>
          <w:sz w:val="20"/>
          <w:lang w:val="en-GB"/>
        </w:rPr>
        <w:t>erformance differences between interlaces</w:t>
      </w:r>
      <w:r>
        <w:rPr>
          <w:rFonts w:eastAsia="Yu Mincho"/>
          <w:sz w:val="20"/>
          <w:lang w:val="en-GB"/>
        </w:rPr>
        <w:t>.</w:t>
      </w:r>
    </w:p>
    <w:p w14:paraId="5F240AE6" w14:textId="77777777" w:rsidR="00ED7136" w:rsidRDefault="00ED7136" w:rsidP="00ED7136">
      <w:pPr>
        <w:jc w:val="both"/>
        <w:rPr>
          <w:rFonts w:eastAsia="Yu Mincho"/>
        </w:rPr>
      </w:pPr>
      <w:r>
        <w:rPr>
          <w:rFonts w:eastAsia="Yu Mincho"/>
        </w:rPr>
        <w:t xml:space="preserve">As discussed for 30 kHz/60 kHz scenarios, non-uniform interlace structure provides only marginal improvement in terms of spectrum usage efficiency. Furthermore, the spectrum usage efficiency may not be the most important design criteria especially for PUCCH (e.g. compared to UL coverage). On the other hand, in typical PUSCH scenarios (wideband operation) localized PUSCH can be used to occupy the spectrum not occupied by 20 MHz interlace. </w:t>
      </w:r>
    </w:p>
    <w:p w14:paraId="04C31364" w14:textId="77777777" w:rsidR="00ED7136" w:rsidRPr="00FE2E54" w:rsidRDefault="00ED7136" w:rsidP="00ED7136">
      <w:pPr>
        <w:jc w:val="both"/>
        <w:rPr>
          <w:rFonts w:eastAsia="Yu Mincho"/>
        </w:rPr>
      </w:pPr>
      <w:r>
        <w:rPr>
          <w:rFonts w:eastAsia="Yu Mincho"/>
        </w:rPr>
        <w:t>Based on the discussion above, we make the following observation and a proposal:</w:t>
      </w:r>
    </w:p>
    <w:p w14:paraId="4ACBA424" w14:textId="235E6B6C" w:rsidR="00ED7136" w:rsidRDefault="00ED7136" w:rsidP="00CF471A">
      <w:pPr>
        <w:spacing w:after="120"/>
        <w:jc w:val="both"/>
        <w:rPr>
          <w:i/>
          <w:iCs/>
          <w:lang w:val="en-US"/>
        </w:rPr>
      </w:pPr>
      <w:r>
        <w:rPr>
          <w:b/>
          <w:bCs/>
          <w:i/>
          <w:iCs/>
          <w:lang w:val="en-US"/>
        </w:rPr>
        <w:t xml:space="preserve">Observation </w:t>
      </w:r>
      <w:r w:rsidR="00501279">
        <w:rPr>
          <w:b/>
          <w:bCs/>
          <w:i/>
          <w:iCs/>
          <w:lang w:val="en-US"/>
        </w:rPr>
        <w:t>5</w:t>
      </w:r>
      <w:r w:rsidRPr="00FD57D9">
        <w:rPr>
          <w:b/>
          <w:bCs/>
          <w:i/>
          <w:iCs/>
          <w:lang w:val="en-US"/>
        </w:rPr>
        <w:t>:</w:t>
      </w:r>
      <w:r>
        <w:rPr>
          <w:b/>
          <w:bCs/>
          <w:i/>
          <w:iCs/>
          <w:lang w:val="en-US"/>
        </w:rPr>
        <w:t xml:space="preserve"> </w:t>
      </w:r>
      <w:r>
        <w:rPr>
          <w:i/>
          <w:iCs/>
          <w:lang w:val="en-US"/>
        </w:rPr>
        <w:t>Non-uniform interlace structure is not compatible with DFT-S-OFDM</w:t>
      </w:r>
      <w:r w:rsidR="00B961D6">
        <w:rPr>
          <w:i/>
          <w:iCs/>
          <w:lang w:val="en-US"/>
        </w:rPr>
        <w:t>.</w:t>
      </w:r>
    </w:p>
    <w:p w14:paraId="1D8B5C9E" w14:textId="4DD4DCB8" w:rsidR="00B961D6" w:rsidRDefault="00B961D6" w:rsidP="00CF471A">
      <w:pPr>
        <w:spacing w:after="120"/>
        <w:jc w:val="both"/>
        <w:rPr>
          <w:b/>
          <w:bCs/>
          <w:i/>
          <w:iCs/>
          <w:lang w:val="en-US"/>
        </w:rPr>
      </w:pPr>
      <w:r>
        <w:rPr>
          <w:b/>
          <w:bCs/>
          <w:i/>
          <w:iCs/>
          <w:lang w:val="en-US"/>
        </w:rPr>
        <w:t>Observat</w:t>
      </w:r>
      <w:r w:rsidR="00501279">
        <w:rPr>
          <w:b/>
          <w:bCs/>
          <w:i/>
          <w:iCs/>
          <w:lang w:val="en-US"/>
        </w:rPr>
        <w:t>ion 6</w:t>
      </w:r>
      <w:r w:rsidRPr="00FD57D9">
        <w:rPr>
          <w:b/>
          <w:bCs/>
          <w:i/>
          <w:iCs/>
          <w:lang w:val="en-US"/>
        </w:rPr>
        <w:t>:</w:t>
      </w:r>
      <w:r>
        <w:rPr>
          <w:b/>
          <w:bCs/>
          <w:i/>
          <w:iCs/>
          <w:lang w:val="en-US"/>
        </w:rPr>
        <w:t xml:space="preserve"> </w:t>
      </w:r>
      <w:r>
        <w:rPr>
          <w:i/>
          <w:iCs/>
          <w:lang w:val="en-US"/>
        </w:rPr>
        <w:t xml:space="preserve">Non-uniform interlace structure provides only marginal improvement </w:t>
      </w:r>
      <w:r w:rsidRPr="00B961D6">
        <w:rPr>
          <w:i/>
          <w:iCs/>
          <w:lang w:val="en-US"/>
        </w:rPr>
        <w:t xml:space="preserve">for </w:t>
      </w:r>
      <w:r w:rsidRPr="00921786">
        <w:rPr>
          <w:rFonts w:eastAsia="Yu Mincho"/>
          <w:i/>
        </w:rPr>
        <w:t>30 kHz SCS and 60 kHz SCS</w:t>
      </w:r>
      <w:r>
        <w:rPr>
          <w:rFonts w:eastAsia="Yu Mincho"/>
          <w:i/>
        </w:rPr>
        <w:t>.</w:t>
      </w:r>
    </w:p>
    <w:p w14:paraId="0164D77E" w14:textId="0D1C97F2" w:rsidR="00ED7136" w:rsidRDefault="00ED7136" w:rsidP="00ED7136">
      <w:pPr>
        <w:spacing w:after="0"/>
        <w:jc w:val="both"/>
        <w:rPr>
          <w:i/>
          <w:iCs/>
          <w:lang w:val="en-US"/>
        </w:rPr>
      </w:pPr>
      <w:r>
        <w:rPr>
          <w:b/>
          <w:bCs/>
          <w:i/>
          <w:iCs/>
          <w:lang w:val="en-US"/>
        </w:rPr>
        <w:t xml:space="preserve">Proposal </w:t>
      </w:r>
      <w:r w:rsidR="005E5D4A">
        <w:rPr>
          <w:b/>
          <w:bCs/>
          <w:i/>
          <w:iCs/>
          <w:lang w:val="en-US"/>
        </w:rPr>
        <w:t>9</w:t>
      </w:r>
      <w:r w:rsidRPr="00FD57D9">
        <w:rPr>
          <w:b/>
          <w:bCs/>
          <w:i/>
          <w:iCs/>
          <w:lang w:val="en-US"/>
        </w:rPr>
        <w:t>:</w:t>
      </w:r>
      <w:r>
        <w:rPr>
          <w:b/>
          <w:bCs/>
          <w:i/>
          <w:iCs/>
          <w:lang w:val="en-US"/>
        </w:rPr>
        <w:t xml:space="preserve"> </w:t>
      </w:r>
      <w:r>
        <w:rPr>
          <w:i/>
          <w:iCs/>
          <w:lang w:val="en-US"/>
        </w:rPr>
        <w:t>Support uniform interlace structure at least for PUCCH</w:t>
      </w:r>
      <w:r w:rsidR="00B961D6">
        <w:rPr>
          <w:i/>
          <w:iCs/>
          <w:lang w:val="en-US"/>
        </w:rPr>
        <w:t>.</w:t>
      </w:r>
    </w:p>
    <w:p w14:paraId="14ABAB28" w14:textId="77777777" w:rsidR="00ED7136" w:rsidRDefault="00ED7136" w:rsidP="00ED7136">
      <w:pPr>
        <w:spacing w:after="0"/>
        <w:jc w:val="both"/>
        <w:rPr>
          <w:b/>
          <w:bCs/>
          <w:i/>
          <w:iCs/>
          <w:lang w:val="en-US"/>
        </w:rPr>
      </w:pPr>
    </w:p>
    <w:p w14:paraId="46CD1A0F" w14:textId="54CBD731" w:rsidR="00ED7136" w:rsidRPr="00CF471A" w:rsidRDefault="00ED7136" w:rsidP="00CF471A">
      <w:pPr>
        <w:spacing w:after="120"/>
        <w:jc w:val="both"/>
        <w:rPr>
          <w:rFonts w:eastAsia="Batang"/>
          <w:b/>
          <w:bCs/>
          <w:kern w:val="2"/>
          <w:sz w:val="22"/>
          <w:szCs w:val="22"/>
          <w:lang w:val="en-US" w:eastAsia="ko-KR"/>
        </w:rPr>
      </w:pPr>
      <w:r>
        <w:rPr>
          <w:rFonts w:eastAsia="Batang"/>
          <w:b/>
          <w:bCs/>
          <w:kern w:val="2"/>
          <w:sz w:val="22"/>
          <w:szCs w:val="22"/>
          <w:lang w:val="en-US" w:eastAsia="ko-KR"/>
        </w:rPr>
        <w:t>Flexible interlace bandwidth</w:t>
      </w:r>
    </w:p>
    <w:p w14:paraId="456D9B36" w14:textId="784BCA06" w:rsidR="00ED7136" w:rsidRDefault="00ED7136" w:rsidP="00ED7136">
      <w:pPr>
        <w:spacing w:after="120"/>
        <w:jc w:val="both"/>
      </w:pPr>
      <w:r>
        <w:t xml:space="preserve">Figure </w:t>
      </w:r>
      <w:r w:rsidR="00501279">
        <w:t>5</w:t>
      </w:r>
      <w:r>
        <w:t xml:space="preserve"> shows an example of reducing the bandwidth of the uniform interlace structure. As shown, this approach can provide more flexible coexistence with PRB/RBG type of PUSCH resource allocations. This approach can also be used to increase the multiplexing capacity when the number of allocated REs (and allowed UL Tx power) on a partial interlace remain sufficient for the intended payload. With partial interlaces (and no cell edge UEs scheduled), interlaced allocations can be restricted into a sub-portion of BW. This does not have negative MPR impact.</w:t>
      </w:r>
    </w:p>
    <w:p w14:paraId="18E83C0A" w14:textId="77777777" w:rsidR="00ED7136" w:rsidRDefault="00ED7136" w:rsidP="00CF471A">
      <w:pPr>
        <w:jc w:val="both"/>
      </w:pPr>
      <w:r>
        <w:t xml:space="preserve">Similar approach can be used extend the bandwidth of single interlace to cover multiple sub-bands. That kind of approach may be feasible e.g. for SRS transmission, provided that SRS follows interlace-based structure. </w:t>
      </w:r>
    </w:p>
    <w:p w14:paraId="6C689E4F" w14:textId="39933364" w:rsidR="00CF471A" w:rsidRPr="00CF471A" w:rsidRDefault="00ED7136" w:rsidP="00CF471A">
      <w:pPr>
        <w:jc w:val="both"/>
        <w:rPr>
          <w:lang w:val="en-US"/>
        </w:rPr>
      </w:pPr>
      <w:r>
        <w:rPr>
          <w:b/>
          <w:bCs/>
          <w:i/>
          <w:iCs/>
          <w:lang w:val="en-US"/>
        </w:rPr>
        <w:t xml:space="preserve">Proposal </w:t>
      </w:r>
      <w:r w:rsidR="00736EC4">
        <w:rPr>
          <w:b/>
          <w:bCs/>
          <w:i/>
          <w:iCs/>
          <w:lang w:val="en-US"/>
        </w:rPr>
        <w:t>10</w:t>
      </w:r>
      <w:r w:rsidRPr="00FD57D9">
        <w:rPr>
          <w:b/>
          <w:bCs/>
          <w:i/>
          <w:iCs/>
          <w:lang w:val="en-US"/>
        </w:rPr>
        <w:t>:</w:t>
      </w:r>
      <w:r>
        <w:rPr>
          <w:b/>
          <w:bCs/>
          <w:i/>
          <w:iCs/>
          <w:lang w:val="en-US"/>
        </w:rPr>
        <w:t xml:space="preserve"> </w:t>
      </w:r>
      <w:r>
        <w:rPr>
          <w:i/>
          <w:iCs/>
          <w:lang w:val="en-US"/>
        </w:rPr>
        <w:t>Consider support for flexible interlace bandwidth</w:t>
      </w:r>
      <w:r w:rsidR="00CF471A">
        <w:rPr>
          <w:i/>
          <w:iCs/>
          <w:lang w:val="en-US"/>
        </w:rPr>
        <w:t>.</w:t>
      </w:r>
    </w:p>
    <w:p w14:paraId="21EE5E73" w14:textId="77777777" w:rsidR="00ED7136" w:rsidRPr="006E0C97" w:rsidRDefault="00ED7136" w:rsidP="00ED7136">
      <w:pPr>
        <w:spacing w:after="0"/>
        <w:jc w:val="both"/>
      </w:pPr>
      <w:r>
        <w:rPr>
          <w:noProof/>
        </w:rPr>
        <w:drawing>
          <wp:inline distT="0" distB="0" distL="0" distR="0" wp14:anchorId="7E6B6039" wp14:editId="7857692F">
            <wp:extent cx="6210935" cy="8089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10935" cy="808990"/>
                    </a:xfrm>
                    <a:prstGeom prst="rect">
                      <a:avLst/>
                    </a:prstGeom>
                  </pic:spPr>
                </pic:pic>
              </a:graphicData>
            </a:graphic>
          </wp:inline>
        </w:drawing>
      </w:r>
    </w:p>
    <w:p w14:paraId="29E11A8F" w14:textId="0E924670" w:rsidR="00ED7136" w:rsidRDefault="00ED7136" w:rsidP="00CF471A">
      <w:pPr>
        <w:pStyle w:val="Caption"/>
        <w:jc w:val="center"/>
      </w:pPr>
      <w:r>
        <w:t xml:space="preserve">Figure </w:t>
      </w:r>
      <w:r w:rsidR="00501279">
        <w:t>5</w:t>
      </w:r>
      <w:r>
        <w:t>. Partial interlace structure</w:t>
      </w:r>
      <w:r w:rsidR="00CF471A">
        <w:t>.</w:t>
      </w:r>
    </w:p>
    <w:p w14:paraId="4C506100" w14:textId="254FC3F9" w:rsidR="006B16E5" w:rsidRDefault="006B16E5" w:rsidP="006B16E5">
      <w:pPr>
        <w:pStyle w:val="Heading1"/>
        <w:rPr>
          <w:color w:val="000000"/>
        </w:rPr>
      </w:pPr>
      <w:r>
        <w:rPr>
          <w:color w:val="000000"/>
        </w:rPr>
        <w:t xml:space="preserve">4. </w:t>
      </w:r>
      <w:r w:rsidR="00D61E9A">
        <w:rPr>
          <w:color w:val="000000"/>
        </w:rPr>
        <w:t>PUCCH Design</w:t>
      </w:r>
    </w:p>
    <w:p w14:paraId="11B1E85D" w14:textId="4382AFAD" w:rsidR="00F46A3C" w:rsidRPr="004E4414" w:rsidRDefault="00D61E9A" w:rsidP="00501279">
      <w:pPr>
        <w:keepNext/>
        <w:spacing w:after="120"/>
        <w:jc w:val="both"/>
      </w:pPr>
      <w:r w:rsidRPr="004E4414">
        <w:t xml:space="preserve">In Rel-15 NR, 5 PUCCH formats are introduced: PUCCH formats 0 and 2 have duration of 1 or 2 symbols while PUCCH formats 1, 3 and 4 have duration of 4 symbols or more. </w:t>
      </w:r>
      <w:r w:rsidR="00CB1190" w:rsidRPr="004E4414">
        <w:t xml:space="preserve">PUCCH formats 0 and 1 carry UCI of up to 2 bits (+SR) and are restricted </w:t>
      </w:r>
      <w:r w:rsidR="002B7FD4" w:rsidRPr="004E4414">
        <w:t xml:space="preserve">together with PUCCH format 4 to 1 PRB allocation. </w:t>
      </w:r>
      <w:r w:rsidR="00CB1190" w:rsidRPr="004E4414">
        <w:t>PUCCH formats 2</w:t>
      </w:r>
      <w:r w:rsidR="002B7FD4" w:rsidRPr="004E4414">
        <w:t xml:space="preserve"> and 3 </w:t>
      </w:r>
      <w:r w:rsidR="00CB1190" w:rsidRPr="004E4414">
        <w:t xml:space="preserve">can carry larger </w:t>
      </w:r>
      <w:r w:rsidR="002B7FD4" w:rsidRPr="004E4414">
        <w:t>UCI payloads and occupy a configurable number of PRBs.</w:t>
      </w:r>
      <w:r w:rsidR="00E02F58" w:rsidRPr="004E4414">
        <w:t xml:space="preserve"> </w:t>
      </w:r>
    </w:p>
    <w:p w14:paraId="6EFD7F87" w14:textId="57887506" w:rsidR="00CB1190" w:rsidRPr="004E4414" w:rsidRDefault="00E02F58" w:rsidP="00D61E9A">
      <w:pPr>
        <w:keepNext/>
        <w:spacing w:after="0"/>
        <w:jc w:val="both"/>
      </w:pPr>
      <w:r w:rsidRPr="004E4414">
        <w:t xml:space="preserve">In RAN1#93, interlaced waveform was agreed to have benefits while contiguous waveform may be adequate in some scenarios. We see that both options should be investigated </w:t>
      </w:r>
      <w:r w:rsidR="00F07FDE" w:rsidRPr="004E4414">
        <w:t>in the SI and supported by NR-U</w:t>
      </w:r>
      <w:r w:rsidR="000F3270" w:rsidRPr="004E4414">
        <w:t>:</w:t>
      </w:r>
      <w:r w:rsidRPr="004E4414">
        <w:t xml:space="preserve"> </w:t>
      </w:r>
      <w:r w:rsidR="000F3270" w:rsidRPr="004E4414">
        <w:t>contiguous waveform PUCCH may facilitate simpler NR-U adaptation based on the Rel-15 NR while</w:t>
      </w:r>
      <w:r w:rsidRPr="004E4414">
        <w:t xml:space="preserve"> the interlaced waveform PUCCH can provide more efficient system operation</w:t>
      </w:r>
      <w:r w:rsidR="000F3270" w:rsidRPr="004E4414">
        <w:t xml:space="preserve"> e.g. by supporting PUCCH transmission with full UE power.</w:t>
      </w:r>
      <w:r w:rsidRPr="004E4414">
        <w:t xml:space="preserve"> </w:t>
      </w:r>
    </w:p>
    <w:p w14:paraId="4BFAC25F" w14:textId="6DFFA5A1" w:rsidR="00D40BFD" w:rsidRPr="004E4414" w:rsidRDefault="00D40BFD" w:rsidP="00D61E9A">
      <w:pPr>
        <w:keepNext/>
        <w:spacing w:after="0"/>
        <w:jc w:val="both"/>
      </w:pPr>
    </w:p>
    <w:p w14:paraId="42119180" w14:textId="5936BA35" w:rsidR="0020164C" w:rsidRPr="00501279" w:rsidRDefault="00D40BFD" w:rsidP="00501279">
      <w:pPr>
        <w:keepNext/>
        <w:spacing w:after="120"/>
        <w:jc w:val="both"/>
        <w:rPr>
          <w:b/>
        </w:rPr>
      </w:pPr>
      <w:r w:rsidRPr="004E4414">
        <w:rPr>
          <w:b/>
        </w:rPr>
        <w:t>PUCCH design for contiguous waveform</w:t>
      </w:r>
    </w:p>
    <w:p w14:paraId="4C46A3C3" w14:textId="56594BE2" w:rsidR="00622BD2" w:rsidRPr="004E4414" w:rsidRDefault="00622BD2" w:rsidP="00501279">
      <w:pPr>
        <w:keepNext/>
        <w:jc w:val="both"/>
      </w:pPr>
      <w:r w:rsidRPr="004E4414">
        <w:t>Continuous waveform needs to satisfy the minimum bandwidth requirement, e.g., 2 MHz in the case of 5 GHz band ETSI standard. From Rel-15 NR PUCCH formats only formats 2 and 3 can satisfy the requirement.</w:t>
      </w:r>
      <w:r w:rsidR="00E02F58" w:rsidRPr="004E4414">
        <w:t xml:space="preserve"> </w:t>
      </w:r>
      <w:r w:rsidR="008E475A" w:rsidRPr="008F14AE">
        <w:t>We s</w:t>
      </w:r>
      <w:r w:rsidR="008E475A" w:rsidRPr="004E4414">
        <w:t xml:space="preserve">ee that high similarity with Rel-15 NR design should be the key target in continuous waveform PUCCH design for NR-U, even at price of non-optimised operation in some cases. For example, </w:t>
      </w:r>
      <w:r w:rsidR="008C5BB1" w:rsidRPr="004E4414">
        <w:t>PUCCH design based only on PUCCH formats 2 and 3 leads to increased PUCCH overhead in the cases of small UCI payload</w:t>
      </w:r>
      <w:r w:rsidR="008E475A" w:rsidRPr="004E4414">
        <w:t xml:space="preserve"> like SR. Despite of this,</w:t>
      </w:r>
      <w:r w:rsidR="008C5BB1" w:rsidRPr="004E4414">
        <w:t xml:space="preserve"> we do not see need to enhance e.g. PUCCH formats 0 and 1 to satisfy the minimum bandwidth requirement as this </w:t>
      </w:r>
      <w:r w:rsidR="0046061A">
        <w:t xml:space="preserve">would </w:t>
      </w:r>
      <w:r w:rsidR="00F46A3C" w:rsidRPr="004E4414">
        <w:t>reduce the PUCCH similarity with Rel-15 NR design</w:t>
      </w:r>
      <w:r w:rsidR="00826E08" w:rsidRPr="004E4414">
        <w:t xml:space="preserve"> and </w:t>
      </w:r>
      <w:r w:rsidR="008E475A" w:rsidRPr="004E4414">
        <w:t>another PUCCH solution is needed for small payloads supporting</w:t>
      </w:r>
      <w:r w:rsidR="00826E08" w:rsidRPr="004E4414">
        <w:t xml:space="preserve"> transmission at full power</w:t>
      </w:r>
      <w:r w:rsidR="00F46A3C" w:rsidRPr="004E4414">
        <w:t xml:space="preserve">. </w:t>
      </w:r>
      <w:r w:rsidR="008C5BB1" w:rsidRPr="004E4414">
        <w:t xml:space="preserve">  </w:t>
      </w:r>
    </w:p>
    <w:p w14:paraId="1D5019F0" w14:textId="3AC101E1" w:rsidR="002B7FD4" w:rsidRPr="00501279" w:rsidRDefault="00622BD2" w:rsidP="00501279">
      <w:pPr>
        <w:keepNext/>
        <w:jc w:val="both"/>
        <w:rPr>
          <w:i/>
          <w:iCs/>
        </w:rPr>
      </w:pPr>
      <w:r w:rsidRPr="004E4414">
        <w:rPr>
          <w:b/>
          <w:bCs/>
          <w:i/>
          <w:iCs/>
        </w:rPr>
        <w:t xml:space="preserve">Proposal </w:t>
      </w:r>
      <w:r w:rsidR="00501279">
        <w:rPr>
          <w:b/>
          <w:bCs/>
          <w:i/>
          <w:iCs/>
        </w:rPr>
        <w:t>11</w:t>
      </w:r>
      <w:r w:rsidRPr="004E4414">
        <w:rPr>
          <w:b/>
          <w:bCs/>
          <w:i/>
          <w:iCs/>
        </w:rPr>
        <w:t xml:space="preserve">: </w:t>
      </w:r>
      <w:r w:rsidRPr="004E4414">
        <w:rPr>
          <w:bCs/>
          <w:i/>
          <w:iCs/>
        </w:rPr>
        <w:t xml:space="preserve">For NR-U, </w:t>
      </w:r>
      <w:r w:rsidR="009121C8" w:rsidRPr="004E4414">
        <w:rPr>
          <w:bCs/>
          <w:i/>
          <w:iCs/>
        </w:rPr>
        <w:t xml:space="preserve">only </w:t>
      </w:r>
      <w:r w:rsidRPr="004E4414">
        <w:rPr>
          <w:i/>
          <w:iCs/>
        </w:rPr>
        <w:t xml:space="preserve">PUCCH formats 2 and 3 are supported with contiguous waveform.  </w:t>
      </w:r>
    </w:p>
    <w:p w14:paraId="1E8FFDF9" w14:textId="50A269BE" w:rsidR="009121C8" w:rsidRPr="004E4414" w:rsidRDefault="00F46A3C" w:rsidP="009121C8">
      <w:pPr>
        <w:keepNext/>
        <w:spacing w:after="0"/>
        <w:jc w:val="both"/>
      </w:pPr>
      <w:r w:rsidRPr="004E4414">
        <w:t>Some specification efforts are needed to have operational NR-U PUCCH based on PUCCH formats 2 and 3 only. Perhaps most notable is that PUCCH resource sets before dedicated PUCCH resource configuration</w:t>
      </w:r>
      <w:r w:rsidR="009121C8" w:rsidRPr="004E4414">
        <w:t xml:space="preserve">, needed </w:t>
      </w:r>
      <w:r w:rsidRPr="004E4414">
        <w:t>when NR-U cell</w:t>
      </w:r>
      <w:r w:rsidR="00921786">
        <w:t xml:space="preserve"> </w:t>
      </w:r>
      <w:r w:rsidRPr="004E4414">
        <w:t xml:space="preserve"> operates stand-alone on unlicensed spectrum, should be re-designed to use PUCCH formats 2 and 3 instead of PUCCH formats 0 and 1. </w:t>
      </w:r>
    </w:p>
    <w:p w14:paraId="6D7A9D90" w14:textId="77777777" w:rsidR="00D40BFD" w:rsidRPr="004E4414" w:rsidRDefault="00D40BFD" w:rsidP="00D61E9A">
      <w:pPr>
        <w:keepNext/>
        <w:spacing w:after="0"/>
        <w:jc w:val="both"/>
      </w:pPr>
    </w:p>
    <w:p w14:paraId="175EC113" w14:textId="22C8D3A3" w:rsidR="00622BD2" w:rsidRPr="004E4414" w:rsidRDefault="00D40BFD" w:rsidP="00501279">
      <w:pPr>
        <w:keepNext/>
        <w:spacing w:after="120"/>
        <w:jc w:val="both"/>
      </w:pPr>
      <w:r w:rsidRPr="00921786">
        <w:rPr>
          <w:b/>
        </w:rPr>
        <w:t>PUCCH design for interlaced waveform</w:t>
      </w:r>
    </w:p>
    <w:p w14:paraId="78B559B1" w14:textId="33AD3A91" w:rsidR="00BF0F31" w:rsidRPr="004E4414" w:rsidRDefault="00BA3ED0" w:rsidP="00D61E9A">
      <w:pPr>
        <w:keepNext/>
        <w:spacing w:after="0"/>
        <w:jc w:val="both"/>
      </w:pPr>
      <w:r w:rsidRPr="004E4414">
        <w:t xml:space="preserve">Interlaced PUCCH waveform is needed to support UL transmission at full Tx power for different UCI types and payload sizes. </w:t>
      </w:r>
      <w:r w:rsidR="0046061A">
        <w:t>The b</w:t>
      </w:r>
      <w:r w:rsidR="0098666D" w:rsidRPr="004E4414">
        <w:t>aseline</w:t>
      </w:r>
      <w:r w:rsidRPr="004E4414">
        <w:t xml:space="preserve"> design aspects </w:t>
      </w:r>
      <w:r w:rsidR="0046061A">
        <w:t xml:space="preserve">that we see </w:t>
      </w:r>
      <w:r w:rsidRPr="004E4414">
        <w:t xml:space="preserve">relevant </w:t>
      </w:r>
      <w:r w:rsidR="0098666D" w:rsidRPr="004E4414">
        <w:t xml:space="preserve">for the design of NR-U </w:t>
      </w:r>
      <w:r w:rsidRPr="004E4414">
        <w:t xml:space="preserve">variant </w:t>
      </w:r>
      <w:r w:rsidR="0098666D" w:rsidRPr="004E4414">
        <w:t>of PUCCH</w:t>
      </w:r>
      <w:r w:rsidR="0046061A">
        <w:t xml:space="preserve"> include</w:t>
      </w:r>
      <w:r w:rsidR="00BF0F31" w:rsidRPr="004E4414">
        <w:t>:</w:t>
      </w:r>
    </w:p>
    <w:p w14:paraId="4CAA2574" w14:textId="40384AE3" w:rsidR="009734C7" w:rsidRPr="004E4414" w:rsidRDefault="009734C7" w:rsidP="0098666D">
      <w:pPr>
        <w:pStyle w:val="ListParagraph"/>
        <w:keepNext/>
        <w:numPr>
          <w:ilvl w:val="0"/>
          <w:numId w:val="54"/>
        </w:numPr>
        <w:jc w:val="both"/>
        <w:rPr>
          <w:sz w:val="20"/>
          <w:szCs w:val="20"/>
          <w:lang w:val="en-US"/>
        </w:rPr>
      </w:pPr>
      <w:r w:rsidRPr="004E4414">
        <w:rPr>
          <w:sz w:val="20"/>
          <w:szCs w:val="20"/>
          <w:lang w:val="en-US"/>
        </w:rPr>
        <w:t>Full Tx power can be reached with 20 MHz BW from the PSD limitation viewpoint. Hence</w:t>
      </w:r>
      <w:r w:rsidR="009C370E" w:rsidRPr="004E4414">
        <w:rPr>
          <w:sz w:val="20"/>
          <w:szCs w:val="20"/>
          <w:lang w:val="en-US"/>
        </w:rPr>
        <w:t>,</w:t>
      </w:r>
      <w:r w:rsidRPr="004E4414">
        <w:rPr>
          <w:sz w:val="20"/>
          <w:szCs w:val="20"/>
          <w:lang w:val="en-US"/>
        </w:rPr>
        <w:t xml:space="preserve"> we see that PUCCH design for interlaced waveform should be </w:t>
      </w:r>
      <w:r w:rsidR="009C370E" w:rsidRPr="004E4414">
        <w:rPr>
          <w:sz w:val="20"/>
          <w:szCs w:val="20"/>
          <w:lang w:val="en-US"/>
        </w:rPr>
        <w:t>primarily within 20 MHz BW.</w:t>
      </w:r>
      <w:r w:rsidRPr="004E4414">
        <w:rPr>
          <w:sz w:val="20"/>
          <w:szCs w:val="20"/>
          <w:lang w:val="en-US"/>
        </w:rPr>
        <w:t xml:space="preserve">  </w:t>
      </w:r>
    </w:p>
    <w:p w14:paraId="3DABD539" w14:textId="3C315C2E" w:rsidR="0098666D" w:rsidRPr="004E4414" w:rsidRDefault="0098666D" w:rsidP="0098666D">
      <w:pPr>
        <w:pStyle w:val="ListParagraph"/>
        <w:keepNext/>
        <w:numPr>
          <w:ilvl w:val="0"/>
          <w:numId w:val="54"/>
        </w:numPr>
        <w:jc w:val="both"/>
        <w:rPr>
          <w:sz w:val="20"/>
          <w:szCs w:val="20"/>
          <w:lang w:val="en-US"/>
        </w:rPr>
      </w:pPr>
      <w:r w:rsidRPr="00921786">
        <w:rPr>
          <w:sz w:val="20"/>
          <w:szCs w:val="20"/>
          <w:lang w:val="en-US"/>
        </w:rPr>
        <w:t>In RAN1#94, it has been identified that from FDM-based user-multiplexing standpoint it can be beneficial to have a common interlace structure at least for PUSCH, PUCCH, associated DMRS, and potentially PRACH</w:t>
      </w:r>
      <w:r w:rsidRPr="004E4414">
        <w:rPr>
          <w:sz w:val="20"/>
          <w:szCs w:val="20"/>
          <w:lang w:val="en-US"/>
        </w:rPr>
        <w:t xml:space="preserve">. Hence, we see that PUCCH should support the block interlaced waveform discussed in the section 3. </w:t>
      </w:r>
    </w:p>
    <w:p w14:paraId="45EEAECB" w14:textId="623D3131" w:rsidR="00D61E9A" w:rsidRPr="00921786" w:rsidRDefault="0098666D" w:rsidP="0098666D">
      <w:pPr>
        <w:pStyle w:val="ListParagraph"/>
        <w:keepNext/>
        <w:numPr>
          <w:ilvl w:val="0"/>
          <w:numId w:val="54"/>
        </w:numPr>
        <w:jc w:val="both"/>
        <w:rPr>
          <w:sz w:val="20"/>
          <w:szCs w:val="20"/>
          <w:lang w:val="en-US"/>
        </w:rPr>
      </w:pPr>
      <w:r w:rsidRPr="004E4414">
        <w:rPr>
          <w:sz w:val="20"/>
          <w:szCs w:val="20"/>
          <w:lang w:val="en-US"/>
        </w:rPr>
        <w:t>Short</w:t>
      </w:r>
      <w:r w:rsidR="00D61E9A" w:rsidRPr="004E4414">
        <w:rPr>
          <w:sz w:val="20"/>
          <w:szCs w:val="20"/>
          <w:lang w:val="en-GB"/>
        </w:rPr>
        <w:t xml:space="preserve"> PUCCH </w:t>
      </w:r>
      <w:r w:rsidR="00BA3ED0" w:rsidRPr="004E4414">
        <w:rPr>
          <w:sz w:val="20"/>
          <w:szCs w:val="20"/>
          <w:lang w:val="en-GB"/>
        </w:rPr>
        <w:t>is</w:t>
      </w:r>
      <w:r w:rsidR="00D61E9A" w:rsidRPr="004E4414">
        <w:rPr>
          <w:sz w:val="20"/>
          <w:szCs w:val="20"/>
          <w:lang w:val="en-GB"/>
        </w:rPr>
        <w:t xml:space="preserve"> suitable for short UCI transmissions at the end of DL burst</w:t>
      </w:r>
      <w:r w:rsidR="00BF0F31" w:rsidRPr="004E4414">
        <w:rPr>
          <w:sz w:val="20"/>
          <w:szCs w:val="20"/>
          <w:lang w:val="en-GB"/>
        </w:rPr>
        <w:t xml:space="preserve"> as well as to support self-contained COT HARQ feedback</w:t>
      </w:r>
      <w:r w:rsidR="00D61E9A" w:rsidRPr="004E4414">
        <w:rPr>
          <w:sz w:val="20"/>
          <w:szCs w:val="20"/>
          <w:lang w:val="en-GB"/>
        </w:rPr>
        <w:t xml:space="preserve"> while the long PUCCH </w:t>
      </w:r>
      <w:r w:rsidR="00BA3ED0" w:rsidRPr="004E4414">
        <w:rPr>
          <w:sz w:val="20"/>
          <w:szCs w:val="20"/>
          <w:lang w:val="en-GB"/>
        </w:rPr>
        <w:t>is</w:t>
      </w:r>
      <w:r w:rsidR="00D61E9A" w:rsidRPr="004E4414">
        <w:rPr>
          <w:sz w:val="20"/>
          <w:szCs w:val="20"/>
          <w:lang w:val="en-GB"/>
        </w:rPr>
        <w:t xml:space="preserve"> needed to carry larger UCI payloads and/or to provide reasonable coverage for NR unlicensed</w:t>
      </w:r>
      <w:r w:rsidR="00036D13" w:rsidRPr="004E4414">
        <w:rPr>
          <w:sz w:val="20"/>
          <w:szCs w:val="20"/>
          <w:lang w:val="en-GB"/>
        </w:rPr>
        <w:t xml:space="preserve"> with considerable UCI payload</w:t>
      </w:r>
      <w:r w:rsidR="00D61E9A" w:rsidRPr="004E4414">
        <w:rPr>
          <w:sz w:val="20"/>
          <w:szCs w:val="20"/>
          <w:lang w:val="en-GB"/>
        </w:rPr>
        <w:t>.</w:t>
      </w:r>
      <w:r w:rsidR="00BA3ED0" w:rsidRPr="004E4414">
        <w:rPr>
          <w:sz w:val="20"/>
          <w:szCs w:val="20"/>
          <w:lang w:val="en-GB"/>
        </w:rPr>
        <w:t xml:space="preserve"> Both short PUCCH and long PUCCH should be supported</w:t>
      </w:r>
      <w:r w:rsidRPr="004E4414">
        <w:rPr>
          <w:sz w:val="20"/>
          <w:szCs w:val="20"/>
          <w:lang w:val="en-GB"/>
        </w:rPr>
        <w:t>.</w:t>
      </w:r>
    </w:p>
    <w:p w14:paraId="1AC6CCBC" w14:textId="71E201AA" w:rsidR="00AE49A7" w:rsidRPr="004E4414" w:rsidRDefault="00AE49A7" w:rsidP="00447088">
      <w:pPr>
        <w:pStyle w:val="ListParagraph"/>
        <w:keepNext/>
        <w:numPr>
          <w:ilvl w:val="0"/>
          <w:numId w:val="54"/>
        </w:numPr>
        <w:jc w:val="both"/>
        <w:rPr>
          <w:sz w:val="20"/>
          <w:szCs w:val="20"/>
          <w:lang w:val="en-US"/>
        </w:rPr>
      </w:pPr>
      <w:r w:rsidRPr="00921786">
        <w:rPr>
          <w:sz w:val="20"/>
          <w:szCs w:val="20"/>
          <w:lang w:val="en-US"/>
        </w:rPr>
        <w:t xml:space="preserve">NR-U PUCCH design should efficiently support a wide range of payloads, from 1-bit SR to large CSI report in order of hundred bits. This calls for efficient user multiplexing as well as for suitable DMRS overhead for different payloads. </w:t>
      </w:r>
    </w:p>
    <w:p w14:paraId="05433E84" w14:textId="13F95720" w:rsidR="000F5B39" w:rsidRPr="004E3527" w:rsidRDefault="00AE49A7" w:rsidP="004E3527">
      <w:pPr>
        <w:pStyle w:val="ListParagraph"/>
        <w:keepNext/>
        <w:numPr>
          <w:ilvl w:val="0"/>
          <w:numId w:val="54"/>
        </w:numPr>
        <w:spacing w:after="180"/>
        <w:jc w:val="both"/>
        <w:rPr>
          <w:sz w:val="20"/>
          <w:szCs w:val="20"/>
          <w:lang w:val="en-US"/>
        </w:rPr>
      </w:pPr>
      <w:r w:rsidRPr="004E4414">
        <w:rPr>
          <w:sz w:val="20"/>
          <w:szCs w:val="20"/>
          <w:lang w:val="en-US"/>
        </w:rPr>
        <w:t>NR-U PUCCH design should strive for commonality with Rel-15 NR PUCCH design</w:t>
      </w:r>
      <w:r w:rsidR="000F5B39" w:rsidRPr="004E4414">
        <w:rPr>
          <w:sz w:val="20"/>
          <w:szCs w:val="20"/>
          <w:lang w:val="en-US"/>
        </w:rPr>
        <w:t xml:space="preserve"> to simplify both the design and implementation of NR-U PUCCH.</w:t>
      </w:r>
    </w:p>
    <w:p w14:paraId="05055D46" w14:textId="43A0F063" w:rsidR="000F5B39" w:rsidRPr="004E4414" w:rsidRDefault="000F5B39" w:rsidP="004E3527">
      <w:pPr>
        <w:keepNext/>
        <w:jc w:val="both"/>
        <w:rPr>
          <w:i/>
          <w:iCs/>
        </w:rPr>
      </w:pPr>
      <w:r w:rsidRPr="004E4414">
        <w:rPr>
          <w:b/>
          <w:bCs/>
          <w:i/>
          <w:iCs/>
        </w:rPr>
        <w:t>Observation</w:t>
      </w:r>
      <w:r w:rsidR="0050409A">
        <w:rPr>
          <w:b/>
          <w:bCs/>
          <w:i/>
          <w:iCs/>
        </w:rPr>
        <w:t xml:space="preserve"> 7</w:t>
      </w:r>
      <w:r w:rsidRPr="004E4414">
        <w:rPr>
          <w:b/>
          <w:bCs/>
          <w:i/>
          <w:iCs/>
        </w:rPr>
        <w:t xml:space="preserve">: </w:t>
      </w:r>
      <w:r w:rsidRPr="00921786">
        <w:rPr>
          <w:bCs/>
          <w:i/>
          <w:iCs/>
        </w:rPr>
        <w:t xml:space="preserve">NR-U </w:t>
      </w:r>
      <w:r w:rsidR="00DE66CB" w:rsidRPr="004E4414">
        <w:rPr>
          <w:bCs/>
          <w:i/>
          <w:iCs/>
        </w:rPr>
        <w:t xml:space="preserve">B-IFDMA </w:t>
      </w:r>
      <w:r w:rsidRPr="00921786">
        <w:rPr>
          <w:bCs/>
          <w:i/>
          <w:iCs/>
        </w:rPr>
        <w:t>PUCCH should efficiently support a wide range of UCI payloads with efficient user multiplexing and suitable DMRS overhead for d</w:t>
      </w:r>
      <w:r w:rsidRPr="004E4414">
        <w:rPr>
          <w:bCs/>
          <w:i/>
          <w:iCs/>
        </w:rPr>
        <w:t>ifferent payloads.</w:t>
      </w:r>
      <w:r w:rsidRPr="00921786">
        <w:rPr>
          <w:bCs/>
          <w:i/>
          <w:iCs/>
        </w:rPr>
        <w:t xml:space="preserve"> </w:t>
      </w:r>
      <w:r w:rsidRPr="004E4414">
        <w:rPr>
          <w:i/>
          <w:iCs/>
        </w:rPr>
        <w:t xml:space="preserve"> </w:t>
      </w:r>
    </w:p>
    <w:p w14:paraId="4BA13996" w14:textId="55367F4E" w:rsidR="004E3527" w:rsidRPr="004E3527" w:rsidRDefault="000F5B39" w:rsidP="00921786">
      <w:pPr>
        <w:keepNext/>
        <w:jc w:val="both"/>
        <w:rPr>
          <w:i/>
          <w:iCs/>
        </w:rPr>
      </w:pPr>
      <w:r w:rsidRPr="004E4414">
        <w:rPr>
          <w:b/>
          <w:bCs/>
          <w:i/>
          <w:iCs/>
        </w:rPr>
        <w:t>Observation</w:t>
      </w:r>
      <w:r w:rsidR="0050409A">
        <w:rPr>
          <w:b/>
          <w:bCs/>
          <w:i/>
          <w:iCs/>
        </w:rPr>
        <w:t xml:space="preserve"> 8</w:t>
      </w:r>
      <w:r w:rsidRPr="004E4414">
        <w:rPr>
          <w:b/>
          <w:bCs/>
          <w:i/>
          <w:iCs/>
        </w:rPr>
        <w:t xml:space="preserve">: </w:t>
      </w:r>
      <w:r w:rsidRPr="004E4414">
        <w:rPr>
          <w:bCs/>
          <w:i/>
          <w:iCs/>
        </w:rPr>
        <w:t xml:space="preserve">NR-U </w:t>
      </w:r>
      <w:r w:rsidR="00DE66CB" w:rsidRPr="004E4414">
        <w:rPr>
          <w:bCs/>
          <w:i/>
          <w:iCs/>
        </w:rPr>
        <w:t xml:space="preserve">B-IFDMA </w:t>
      </w:r>
      <w:r w:rsidRPr="004E4414">
        <w:rPr>
          <w:bCs/>
          <w:i/>
          <w:iCs/>
        </w:rPr>
        <w:t>PUCCH design should strive for commonality with Rel-15 NR PUCCH design.</w:t>
      </w:r>
    </w:p>
    <w:p w14:paraId="539E434A" w14:textId="5A0BCEA5" w:rsidR="00AE49A7" w:rsidRPr="004E3527" w:rsidRDefault="004E3527" w:rsidP="00921786">
      <w:pPr>
        <w:keepNext/>
        <w:jc w:val="both"/>
      </w:pPr>
      <w:r w:rsidRPr="004E4414">
        <w:rPr>
          <w:b/>
          <w:bCs/>
          <w:i/>
          <w:iCs/>
        </w:rPr>
        <w:t>Proposal</w:t>
      </w:r>
      <w:r>
        <w:rPr>
          <w:b/>
          <w:bCs/>
          <w:i/>
          <w:iCs/>
        </w:rPr>
        <w:t xml:space="preserve"> 12</w:t>
      </w:r>
      <w:r w:rsidRPr="004E4414">
        <w:rPr>
          <w:b/>
          <w:bCs/>
          <w:i/>
          <w:iCs/>
        </w:rPr>
        <w:t xml:space="preserve">: </w:t>
      </w:r>
      <w:r w:rsidRPr="004E4414">
        <w:rPr>
          <w:bCs/>
          <w:i/>
          <w:iCs/>
        </w:rPr>
        <w:t xml:space="preserve">For NR-U, both short and long </w:t>
      </w:r>
      <w:bookmarkStart w:id="1" w:name="_Hlk525557815"/>
      <w:r w:rsidRPr="004E4414">
        <w:rPr>
          <w:bCs/>
          <w:i/>
          <w:iCs/>
        </w:rPr>
        <w:t xml:space="preserve">B-IFDMA </w:t>
      </w:r>
      <w:bookmarkEnd w:id="1"/>
      <w:r w:rsidRPr="004E4414">
        <w:rPr>
          <w:bCs/>
          <w:i/>
          <w:iCs/>
        </w:rPr>
        <w:t>PUCCH are supported.</w:t>
      </w:r>
    </w:p>
    <w:p w14:paraId="497DA182" w14:textId="6DCFC315" w:rsidR="009633FF" w:rsidRPr="004E4414" w:rsidRDefault="004255B5" w:rsidP="00921786">
      <w:pPr>
        <w:keepNext/>
        <w:jc w:val="both"/>
        <w:rPr>
          <w:lang w:val="en-US"/>
        </w:rPr>
      </w:pPr>
      <w:r w:rsidRPr="004E4414">
        <w:rPr>
          <w:lang w:val="en-US"/>
        </w:rPr>
        <w:t xml:space="preserve">In Rel-15, long PUCCH uses DFT-S-OFDM waveform and has time multiplexed DMRS symbols while short PUCCH format 2 uses CP-OFDM waveform and has DMRS multiplexed in frequency. When considering NR-U short PUCCH, adopting frequency multiplexed DMRS is an attractive </w:t>
      </w:r>
      <w:r w:rsidR="009633FF" w:rsidRPr="004E4414">
        <w:rPr>
          <w:lang w:val="en-US"/>
        </w:rPr>
        <w:t>solution. I</w:t>
      </w:r>
      <w:r w:rsidRPr="004E4414">
        <w:rPr>
          <w:lang w:val="en-US"/>
        </w:rPr>
        <w:t xml:space="preserve">t is hard to support time multiplexed DMRS symbols for short PUCCH </w:t>
      </w:r>
      <w:r w:rsidR="009633FF" w:rsidRPr="004E4414">
        <w:rPr>
          <w:lang w:val="en-US"/>
        </w:rPr>
        <w:t>without</w:t>
      </w:r>
      <w:r w:rsidRPr="004E4414">
        <w:rPr>
          <w:lang w:val="en-US"/>
        </w:rPr>
        <w:t xml:space="preserve"> resulting </w:t>
      </w:r>
      <w:r w:rsidR="009633FF" w:rsidRPr="004E4414">
        <w:rPr>
          <w:lang w:val="en-US"/>
        </w:rPr>
        <w:t xml:space="preserve">in </w:t>
      </w:r>
      <w:r w:rsidRPr="004E4414">
        <w:rPr>
          <w:lang w:val="en-US"/>
        </w:rPr>
        <w:t>unnecessarily large DMRS</w:t>
      </w:r>
      <w:r w:rsidR="009633FF" w:rsidRPr="004E4414">
        <w:rPr>
          <w:lang w:val="en-US"/>
        </w:rPr>
        <w:t xml:space="preserve"> overhead</w:t>
      </w:r>
      <w:r w:rsidRPr="004E4414">
        <w:rPr>
          <w:lang w:val="en-US"/>
        </w:rPr>
        <w:t>.</w:t>
      </w:r>
      <w:r w:rsidR="009633FF" w:rsidRPr="004E4414">
        <w:rPr>
          <w:lang w:val="en-US"/>
        </w:rPr>
        <w:t xml:space="preserve"> </w:t>
      </w:r>
    </w:p>
    <w:p w14:paraId="567BE2C1" w14:textId="61A3C52E" w:rsidR="009633FF" w:rsidRPr="004E4414" w:rsidRDefault="009633FF" w:rsidP="00921786">
      <w:pPr>
        <w:keepNext/>
        <w:jc w:val="both"/>
        <w:rPr>
          <w:bCs/>
          <w:i/>
          <w:iCs/>
        </w:rPr>
      </w:pPr>
      <w:r w:rsidRPr="004E4414">
        <w:rPr>
          <w:b/>
          <w:bCs/>
          <w:i/>
          <w:iCs/>
        </w:rPr>
        <w:t>Proposal</w:t>
      </w:r>
      <w:r w:rsidR="0050409A">
        <w:rPr>
          <w:b/>
          <w:bCs/>
          <w:i/>
          <w:iCs/>
        </w:rPr>
        <w:t xml:space="preserve"> 13</w:t>
      </w:r>
      <w:r w:rsidRPr="004E4414">
        <w:rPr>
          <w:b/>
          <w:bCs/>
          <w:i/>
          <w:iCs/>
        </w:rPr>
        <w:t xml:space="preserve">: </w:t>
      </w:r>
      <w:r w:rsidRPr="004E4414">
        <w:rPr>
          <w:bCs/>
          <w:i/>
          <w:iCs/>
        </w:rPr>
        <w:t xml:space="preserve">NR-U short </w:t>
      </w:r>
      <w:r w:rsidR="00DE66CB" w:rsidRPr="004E4414">
        <w:rPr>
          <w:bCs/>
          <w:i/>
          <w:iCs/>
        </w:rPr>
        <w:t xml:space="preserve">B-IFDMA </w:t>
      </w:r>
      <w:r w:rsidRPr="004E4414">
        <w:rPr>
          <w:bCs/>
          <w:i/>
          <w:iCs/>
        </w:rPr>
        <w:t>PUCCH for above 2-bit payloads applies FDM between data and reference signal.</w:t>
      </w:r>
    </w:p>
    <w:p w14:paraId="75B67A68" w14:textId="7363BF48" w:rsidR="004255B5" w:rsidRPr="004E4414" w:rsidRDefault="009633FF" w:rsidP="00921786">
      <w:pPr>
        <w:keepNext/>
        <w:jc w:val="both"/>
        <w:rPr>
          <w:lang w:val="en-US"/>
        </w:rPr>
      </w:pPr>
      <w:r w:rsidRPr="004E4414">
        <w:rPr>
          <w:lang w:val="en-US"/>
        </w:rPr>
        <w:t xml:space="preserve">NR-U long PUCCH will inevitably occupy a larger (minimum) number of REs than Rel-15 NR PUCCH due to block interlaced waveform. Hence, it is necessary to support user multiplexing via CDMA. </w:t>
      </w:r>
      <w:r w:rsidR="00282E93" w:rsidRPr="004E4414">
        <w:rPr>
          <w:lang w:val="en-US"/>
        </w:rPr>
        <w:t xml:space="preserve">For the time multiplexed DMRS, there are several </w:t>
      </w:r>
      <w:r w:rsidR="00401C44" w:rsidRPr="004E4414">
        <w:rPr>
          <w:lang w:val="en-US"/>
        </w:rPr>
        <w:t>multiplexing</w:t>
      </w:r>
      <w:r w:rsidR="00282E93" w:rsidRPr="004E4414">
        <w:rPr>
          <w:lang w:val="en-US"/>
        </w:rPr>
        <w:t xml:space="preserve"> mechanisms already considered in RAN1 for PUCCH. However, for the frequency multiplexed DMRS, more thorough RAN1 investigations on suitable multiplexing mechanisms would be needed (due to lack of earlier discussions). F</w:t>
      </w:r>
      <w:r w:rsidR="00401C44" w:rsidRPr="004E4414">
        <w:rPr>
          <w:lang w:val="en-US"/>
        </w:rPr>
        <w:t>urther, TDM</w:t>
      </w:r>
      <w:r w:rsidR="00282E93" w:rsidRPr="004E4414">
        <w:rPr>
          <w:lang w:val="en-US"/>
        </w:rPr>
        <w:t xml:space="preserve"> DMRS allows for a larger </w:t>
      </w:r>
      <w:r w:rsidR="00282E93" w:rsidRPr="00921786">
        <w:rPr>
          <w:bCs/>
          <w:iCs/>
        </w:rPr>
        <w:t>commonality with Rel-15 NR PUCCH design.</w:t>
      </w:r>
      <w:r w:rsidR="00401C44" w:rsidRPr="004E4414">
        <w:rPr>
          <w:bCs/>
          <w:iCs/>
        </w:rPr>
        <w:t xml:space="preserve"> Additionally, FDM DMRS does not offer any obvious benefits over TDM DMRS for long PUCCH. Hence, we propose that </w:t>
      </w:r>
      <w:r w:rsidR="00127B5C">
        <w:rPr>
          <w:bCs/>
          <w:iCs/>
        </w:rPr>
        <w:t>DMRS is time multiplexed</w:t>
      </w:r>
      <w:r w:rsidR="00401C44" w:rsidRPr="004E4414">
        <w:rPr>
          <w:bCs/>
          <w:iCs/>
        </w:rPr>
        <w:t xml:space="preserve"> for NR-U long PUCCH.  </w:t>
      </w:r>
      <w:r w:rsidR="00282E93" w:rsidRPr="004E4414">
        <w:rPr>
          <w:lang w:val="en-US"/>
        </w:rPr>
        <w:t xml:space="preserve"> </w:t>
      </w:r>
      <w:r w:rsidR="004255B5" w:rsidRPr="004E4414">
        <w:rPr>
          <w:lang w:val="en-US"/>
        </w:rPr>
        <w:t xml:space="preserve"> </w:t>
      </w:r>
    </w:p>
    <w:p w14:paraId="006307D9" w14:textId="33546157" w:rsidR="00401C44" w:rsidRPr="004E4414" w:rsidRDefault="00401C44" w:rsidP="004E3527">
      <w:pPr>
        <w:keepNext/>
        <w:jc w:val="both"/>
        <w:rPr>
          <w:bCs/>
          <w:i/>
          <w:iCs/>
        </w:rPr>
      </w:pPr>
      <w:r w:rsidRPr="004E4414">
        <w:rPr>
          <w:b/>
          <w:bCs/>
          <w:i/>
          <w:iCs/>
        </w:rPr>
        <w:t>Proposal</w:t>
      </w:r>
      <w:r w:rsidR="0050409A">
        <w:rPr>
          <w:b/>
          <w:bCs/>
          <w:i/>
          <w:iCs/>
        </w:rPr>
        <w:t xml:space="preserve"> 14</w:t>
      </w:r>
      <w:r w:rsidRPr="004E4414">
        <w:rPr>
          <w:b/>
          <w:bCs/>
          <w:i/>
          <w:iCs/>
        </w:rPr>
        <w:t xml:space="preserve">: </w:t>
      </w:r>
      <w:r w:rsidRPr="004E4414">
        <w:rPr>
          <w:bCs/>
          <w:i/>
          <w:iCs/>
        </w:rPr>
        <w:t xml:space="preserve">NR-U long </w:t>
      </w:r>
      <w:r w:rsidR="00DE66CB" w:rsidRPr="004E4414">
        <w:rPr>
          <w:bCs/>
          <w:i/>
          <w:iCs/>
        </w:rPr>
        <w:t xml:space="preserve">B-IFDMA </w:t>
      </w:r>
      <w:r w:rsidRPr="004E4414">
        <w:rPr>
          <w:bCs/>
          <w:i/>
          <w:iCs/>
        </w:rPr>
        <w:t>PUCCH for above 2-bit payloads applies TDM between data and reference signal.</w:t>
      </w:r>
    </w:p>
    <w:p w14:paraId="7518D180" w14:textId="16483434" w:rsidR="00533774" w:rsidRPr="004E4414" w:rsidRDefault="00401C44" w:rsidP="00921786">
      <w:pPr>
        <w:keepNext/>
        <w:jc w:val="both"/>
        <w:rPr>
          <w:lang w:val="en-US"/>
        </w:rPr>
      </w:pPr>
      <w:r w:rsidRPr="004E4414">
        <w:rPr>
          <w:lang w:val="en-US"/>
        </w:rPr>
        <w:t>It is straightforward to define different PUCCH formats to support frequency</w:t>
      </w:r>
      <w:r w:rsidR="00533774" w:rsidRPr="004E4414">
        <w:rPr>
          <w:lang w:val="en-US"/>
        </w:rPr>
        <w:t xml:space="preserve"> and time multiplexed DMRS. Of course, it could be done also by configuration options of single PUCCH format, but the result would be the same in the end.</w:t>
      </w:r>
      <w:r w:rsidR="004E3527">
        <w:rPr>
          <w:lang w:val="en-US"/>
        </w:rPr>
        <w:t xml:space="preserve"> Hence, we propose that separate PUCCH formats are </w:t>
      </w:r>
      <w:r w:rsidR="004E3527" w:rsidRPr="004E3527">
        <w:rPr>
          <w:lang w:val="en-US"/>
        </w:rPr>
        <w:t xml:space="preserve">defined for </w:t>
      </w:r>
      <w:r w:rsidR="004E3527" w:rsidRPr="004E3527">
        <w:rPr>
          <w:bCs/>
          <w:iCs/>
        </w:rPr>
        <w:t>long and short B-IFDMA PUCCH.</w:t>
      </w:r>
      <w:r w:rsidR="004E3527">
        <w:rPr>
          <w:lang w:val="en-US"/>
        </w:rPr>
        <w:t xml:space="preserve"> </w:t>
      </w:r>
      <w:r w:rsidR="004E3527" w:rsidRPr="004E4414">
        <w:rPr>
          <w:lang w:val="en-US"/>
        </w:rPr>
        <w:t xml:space="preserve"> </w:t>
      </w:r>
    </w:p>
    <w:p w14:paraId="3F0A0207" w14:textId="6E158A04" w:rsidR="00533774" w:rsidRPr="004E3527" w:rsidRDefault="00533774" w:rsidP="00921786">
      <w:pPr>
        <w:keepNext/>
        <w:jc w:val="both"/>
      </w:pPr>
      <w:r w:rsidRPr="004E4414">
        <w:rPr>
          <w:b/>
          <w:bCs/>
          <w:i/>
          <w:iCs/>
        </w:rPr>
        <w:t>Proposal</w:t>
      </w:r>
      <w:r w:rsidR="0050409A">
        <w:rPr>
          <w:b/>
          <w:bCs/>
          <w:i/>
          <w:iCs/>
        </w:rPr>
        <w:t xml:space="preserve"> 15</w:t>
      </w:r>
      <w:r w:rsidRPr="004E4414">
        <w:rPr>
          <w:b/>
          <w:bCs/>
          <w:i/>
          <w:iCs/>
        </w:rPr>
        <w:t xml:space="preserve">: </w:t>
      </w:r>
      <w:r w:rsidRPr="00921786">
        <w:rPr>
          <w:bCs/>
          <w:i/>
          <w:iCs/>
        </w:rPr>
        <w:t xml:space="preserve">Separate PUCCH formats are defined for </w:t>
      </w:r>
      <w:r w:rsidRPr="004E4414">
        <w:rPr>
          <w:bCs/>
          <w:i/>
          <w:iCs/>
        </w:rPr>
        <w:t xml:space="preserve">NR-U long </w:t>
      </w:r>
      <w:r w:rsidR="00DE66CB" w:rsidRPr="004E4414">
        <w:rPr>
          <w:bCs/>
          <w:i/>
          <w:iCs/>
        </w:rPr>
        <w:t xml:space="preserve">and short B-IFDMA </w:t>
      </w:r>
      <w:r w:rsidRPr="004E4414">
        <w:rPr>
          <w:bCs/>
          <w:i/>
          <w:iCs/>
        </w:rPr>
        <w:t>PU</w:t>
      </w:r>
      <w:r w:rsidR="00DE66CB" w:rsidRPr="004E4414">
        <w:rPr>
          <w:bCs/>
          <w:i/>
          <w:iCs/>
        </w:rPr>
        <w:t>CCH</w:t>
      </w:r>
      <w:r w:rsidRPr="004E4414">
        <w:rPr>
          <w:bCs/>
          <w:i/>
          <w:iCs/>
        </w:rPr>
        <w:t xml:space="preserve">. </w:t>
      </w:r>
    </w:p>
    <w:p w14:paraId="1B8D36C5" w14:textId="608C99B2" w:rsidR="00475BD7" w:rsidRPr="004E4414" w:rsidRDefault="00CE60EB" w:rsidP="00921786">
      <w:pPr>
        <w:keepNext/>
        <w:spacing w:after="120"/>
        <w:jc w:val="both"/>
        <w:rPr>
          <w:lang w:val="en-US"/>
        </w:rPr>
      </w:pPr>
      <w:r w:rsidRPr="004E4414">
        <w:rPr>
          <w:lang w:val="en-US"/>
        </w:rPr>
        <w:t>Frequently the UCI payloads</w:t>
      </w:r>
      <w:r w:rsidR="00127B5C">
        <w:rPr>
          <w:lang w:val="en-US"/>
        </w:rPr>
        <w:t xml:space="preserve"> in NR-U</w:t>
      </w:r>
      <w:r w:rsidRPr="004E4414">
        <w:rPr>
          <w:lang w:val="en-US"/>
        </w:rPr>
        <w:t xml:space="preserve"> can be considerable due to CSI reporting and TDD structure leading to the multiplexing of multiple HARQ-ACKs into single </w:t>
      </w:r>
      <w:r w:rsidR="00127B5C">
        <w:rPr>
          <w:lang w:val="en-US"/>
        </w:rPr>
        <w:t xml:space="preserve">PUCCH </w:t>
      </w:r>
      <w:r w:rsidRPr="004E4414">
        <w:rPr>
          <w:lang w:val="en-US"/>
        </w:rPr>
        <w:t>transmission. However, frequently there is only one DL TB to be acknowledged, or single bit scheduling request to be transmitted.</w:t>
      </w:r>
      <w:r w:rsidR="00127B5C">
        <w:rPr>
          <w:lang w:val="en-US"/>
        </w:rPr>
        <w:t xml:space="preserve"> Hence, efficient user multiplexing is needed for small UCI payloads.</w:t>
      </w:r>
      <w:r w:rsidRPr="004E4414">
        <w:rPr>
          <w:lang w:val="en-US"/>
        </w:rPr>
        <w:t xml:space="preserve"> The efficient transmission of 1 or 2-bit UCI is crucial also in the sense that it defines </w:t>
      </w:r>
      <w:r w:rsidR="00127B5C">
        <w:rPr>
          <w:lang w:val="en-US"/>
        </w:rPr>
        <w:t xml:space="preserve">NR-U </w:t>
      </w:r>
      <w:r w:rsidR="00426723" w:rsidRPr="004E4414">
        <w:rPr>
          <w:lang w:val="en-US"/>
        </w:rPr>
        <w:t>PUCCH coverage</w:t>
      </w:r>
      <w:r w:rsidRPr="004E4414">
        <w:rPr>
          <w:lang w:val="en-US"/>
        </w:rPr>
        <w:t xml:space="preserve">. </w:t>
      </w:r>
    </w:p>
    <w:p w14:paraId="1C683732" w14:textId="19F0245D" w:rsidR="004E3527" w:rsidRPr="004E4414" w:rsidRDefault="00475BD7" w:rsidP="00921786">
      <w:pPr>
        <w:keepNext/>
        <w:jc w:val="both"/>
        <w:rPr>
          <w:lang w:val="en-US"/>
        </w:rPr>
      </w:pPr>
      <w:r w:rsidRPr="004E4414">
        <w:rPr>
          <w:lang w:val="en-US"/>
        </w:rPr>
        <w:t>The PUCCH formats designed primarily for larger payloads may be extended to carry also UCI of 1 or 2 bits. This can be done by extending the UCI payload by dummy bits; or by extending the encoder for small payloads; or by extending the CDMA multiplexing to larger spreading factors.</w:t>
      </w:r>
      <w:r w:rsidR="00426723" w:rsidRPr="004E4414">
        <w:rPr>
          <w:lang w:val="en-US"/>
        </w:rPr>
        <w:t xml:space="preserve"> In these approaches, no attention is paid to resulting PAPR/CM. With dedicated design of PUCCH formats for UCI of 1 or 2 bits, PAPR/CM can be optimized. This can lead to significant improvement on PUCCH coverage. </w:t>
      </w:r>
      <w:r w:rsidRPr="004E4414">
        <w:rPr>
          <w:lang w:val="en-US"/>
        </w:rPr>
        <w:t>Payload and encoder extensions lead also insufficient user multiplexing, which can have a considerable impact</w:t>
      </w:r>
      <w:r w:rsidR="00426723" w:rsidRPr="004E4414">
        <w:rPr>
          <w:lang w:val="en-US"/>
        </w:rPr>
        <w:t xml:space="preserve"> on</w:t>
      </w:r>
      <w:r w:rsidRPr="004E4414">
        <w:rPr>
          <w:lang w:val="en-US"/>
        </w:rPr>
        <w:t xml:space="preserve"> efficiency especially in the case of periodic SR.  </w:t>
      </w:r>
      <w:r w:rsidR="00CE60EB" w:rsidRPr="004E4414">
        <w:rPr>
          <w:lang w:val="en-US"/>
        </w:rPr>
        <w:t xml:space="preserve"> </w:t>
      </w:r>
    </w:p>
    <w:p w14:paraId="4A560CA6" w14:textId="41292254" w:rsidR="00DE66CB" w:rsidRPr="004E3527" w:rsidRDefault="00DE66CB" w:rsidP="00921786">
      <w:pPr>
        <w:keepNext/>
        <w:jc w:val="both"/>
        <w:rPr>
          <w:i/>
          <w:iCs/>
        </w:rPr>
      </w:pPr>
      <w:r w:rsidRPr="004E4414">
        <w:rPr>
          <w:b/>
          <w:bCs/>
          <w:i/>
          <w:iCs/>
        </w:rPr>
        <w:t>Observation</w:t>
      </w:r>
      <w:r w:rsidR="004A6E18">
        <w:rPr>
          <w:b/>
          <w:bCs/>
          <w:i/>
          <w:iCs/>
        </w:rPr>
        <w:t xml:space="preserve"> 9</w:t>
      </w:r>
      <w:r w:rsidRPr="004E4414">
        <w:rPr>
          <w:b/>
          <w:bCs/>
          <w:i/>
          <w:iCs/>
        </w:rPr>
        <w:t xml:space="preserve">: </w:t>
      </w:r>
      <w:r w:rsidRPr="00921786">
        <w:rPr>
          <w:bCs/>
          <w:i/>
          <w:iCs/>
        </w:rPr>
        <w:t xml:space="preserve">Transmission format for 1-2 bit UCI payloads defines </w:t>
      </w:r>
      <w:r w:rsidRPr="004E4414">
        <w:rPr>
          <w:bCs/>
          <w:i/>
          <w:iCs/>
        </w:rPr>
        <w:t>NR-U PUCCH coverage.</w:t>
      </w:r>
    </w:p>
    <w:p w14:paraId="2187A66B" w14:textId="3F89BA5D" w:rsidR="00DE66CB" w:rsidRPr="004E3527" w:rsidRDefault="00DE66CB" w:rsidP="00921786">
      <w:pPr>
        <w:keepNext/>
        <w:jc w:val="both"/>
        <w:rPr>
          <w:i/>
          <w:iCs/>
        </w:rPr>
      </w:pPr>
      <w:r w:rsidRPr="004E4414">
        <w:rPr>
          <w:b/>
          <w:bCs/>
          <w:i/>
          <w:iCs/>
        </w:rPr>
        <w:t>Observation</w:t>
      </w:r>
      <w:r w:rsidR="004A6E18">
        <w:rPr>
          <w:b/>
          <w:bCs/>
          <w:i/>
          <w:iCs/>
        </w:rPr>
        <w:t xml:space="preserve"> 10</w:t>
      </w:r>
      <w:r w:rsidRPr="004E4414">
        <w:rPr>
          <w:b/>
          <w:bCs/>
          <w:i/>
          <w:iCs/>
        </w:rPr>
        <w:t xml:space="preserve">: </w:t>
      </w:r>
      <w:r w:rsidRPr="00921786">
        <w:rPr>
          <w:bCs/>
          <w:i/>
          <w:iCs/>
        </w:rPr>
        <w:t>Efficient user multiplexing is needed for SR transmission.</w:t>
      </w:r>
    </w:p>
    <w:p w14:paraId="0E57D723" w14:textId="5D61DEA1" w:rsidR="00F01CCA" w:rsidRPr="004E4414" w:rsidRDefault="00DE66CB" w:rsidP="004E3527">
      <w:pPr>
        <w:keepNext/>
        <w:jc w:val="both"/>
      </w:pPr>
      <w:r w:rsidRPr="004E4414">
        <w:rPr>
          <w:b/>
          <w:bCs/>
          <w:i/>
          <w:iCs/>
        </w:rPr>
        <w:t>Proposal</w:t>
      </w:r>
      <w:r w:rsidR="004A6E18">
        <w:rPr>
          <w:b/>
          <w:bCs/>
          <w:i/>
          <w:iCs/>
        </w:rPr>
        <w:t xml:space="preserve"> 16</w:t>
      </w:r>
      <w:r w:rsidR="00426723" w:rsidRPr="004E4414">
        <w:rPr>
          <w:b/>
          <w:bCs/>
          <w:i/>
          <w:iCs/>
        </w:rPr>
        <w:t xml:space="preserve">: </w:t>
      </w:r>
      <w:r w:rsidRPr="004E4414">
        <w:rPr>
          <w:bCs/>
          <w:i/>
          <w:iCs/>
        </w:rPr>
        <w:t xml:space="preserve">Separate B-IFDMA PUCCH formats are defined for UCI payloads of 1-2 bits and above 2 bits. Rel-15 NR PUCCH formats can be used as starting point.  </w:t>
      </w:r>
    </w:p>
    <w:p w14:paraId="0B8B4BB2" w14:textId="5DE4459D" w:rsidR="0061705C" w:rsidRPr="004E4414" w:rsidRDefault="00FD436C" w:rsidP="004E3527">
      <w:pPr>
        <w:keepNext/>
        <w:jc w:val="both"/>
        <w:rPr>
          <w:i/>
          <w:iCs/>
        </w:rPr>
      </w:pPr>
      <w:r w:rsidRPr="004E4414">
        <w:t>As said, o</w:t>
      </w:r>
      <w:r w:rsidR="00036D13" w:rsidRPr="004E4414">
        <w:t xml:space="preserve">ne of the drawbacks of </w:t>
      </w:r>
      <w:r w:rsidR="00D6383B" w:rsidRPr="004E4414">
        <w:t xml:space="preserve">B-IFDMA </w:t>
      </w:r>
      <w:r w:rsidR="00036D13" w:rsidRPr="004E4414">
        <w:t>PUCCH structure is that the minimum resource allocation size is increased. For small UCI payloads, this leads to excessive resource consumption</w:t>
      </w:r>
      <w:r w:rsidRPr="004E4414">
        <w:t xml:space="preserve"> and</w:t>
      </w:r>
      <w:r w:rsidR="00CE60A1" w:rsidRPr="004E4414">
        <w:t xml:space="preserve"> possibilities for improving resource utilization for </w:t>
      </w:r>
      <w:r w:rsidRPr="004E4414">
        <w:t xml:space="preserve">B-IFDMA </w:t>
      </w:r>
      <w:r w:rsidR="00CE60A1" w:rsidRPr="004E4414">
        <w:t xml:space="preserve">PUCCH should be investigated. </w:t>
      </w:r>
      <w:r w:rsidR="00036D13" w:rsidRPr="004E4414">
        <w:t>As discussed, OCB requirement is not applicable in all cases</w:t>
      </w:r>
      <w:r w:rsidR="00F84AB3" w:rsidRPr="004E4414">
        <w:t xml:space="preserve"> and</w:t>
      </w:r>
      <w:r w:rsidR="00036D13" w:rsidRPr="004E4414">
        <w:rPr>
          <w:i/>
        </w:rPr>
        <w:t xml:space="preserve"> </w:t>
      </w:r>
      <w:r w:rsidR="00036D13" w:rsidRPr="004E4414">
        <w:t xml:space="preserve">ETSI allows temporally BW less than </w:t>
      </w:r>
      <w:r w:rsidR="00F84AB3" w:rsidRPr="004E4414">
        <w:t>the OCB requirement.</w:t>
      </w:r>
      <w:r w:rsidR="0061705C" w:rsidRPr="004E4414">
        <w:t xml:space="preserve"> Hence, one possibility to improve resource utilization is to allocate only a part of an interlace (a portion of interlace clusters) for an UE and the other part of the interlace for another UE. This could be used e.g. when PUCCH transmission is triggered by DL assignment within a shared COT and UE is not power limited (given the number of clusters and PSD limitation).   </w:t>
      </w:r>
      <w:r w:rsidR="00F84AB3" w:rsidRPr="004E4414">
        <w:t xml:space="preserve"> </w:t>
      </w:r>
      <w:r w:rsidR="00036D13" w:rsidRPr="004E4414">
        <w:t xml:space="preserve"> </w:t>
      </w:r>
    </w:p>
    <w:p w14:paraId="698CF1FA" w14:textId="403D8798" w:rsidR="00235652" w:rsidRDefault="0061705C" w:rsidP="004E3527">
      <w:pPr>
        <w:keepNext/>
        <w:jc w:val="both"/>
        <w:rPr>
          <w:b/>
        </w:rPr>
      </w:pPr>
      <w:r w:rsidRPr="004E4414">
        <w:rPr>
          <w:b/>
          <w:bCs/>
          <w:i/>
          <w:iCs/>
        </w:rPr>
        <w:t>Proposal</w:t>
      </w:r>
      <w:r w:rsidR="004A6E18">
        <w:rPr>
          <w:b/>
          <w:bCs/>
          <w:i/>
          <w:iCs/>
        </w:rPr>
        <w:t xml:space="preserve"> 17</w:t>
      </w:r>
      <w:r w:rsidRPr="004E4414">
        <w:rPr>
          <w:b/>
          <w:bCs/>
          <w:i/>
          <w:iCs/>
        </w:rPr>
        <w:t xml:space="preserve">: </w:t>
      </w:r>
      <w:r w:rsidRPr="004E4414">
        <w:rPr>
          <w:bCs/>
          <w:i/>
          <w:iCs/>
        </w:rPr>
        <w:t xml:space="preserve">Techniques for improving resource utilization for </w:t>
      </w:r>
      <w:r w:rsidR="00FD436C" w:rsidRPr="004E4414">
        <w:rPr>
          <w:bCs/>
          <w:i/>
          <w:iCs/>
        </w:rPr>
        <w:t xml:space="preserve">B-IFDMA </w:t>
      </w:r>
      <w:r w:rsidRPr="004E4414">
        <w:rPr>
          <w:bCs/>
          <w:i/>
          <w:iCs/>
        </w:rPr>
        <w:t>PUCCH should be investigated, such as FDMA by allocating a portion of an interlace.</w:t>
      </w:r>
    </w:p>
    <w:p w14:paraId="46850BE9" w14:textId="4E13BB12" w:rsidR="006B16E5" w:rsidRPr="00A51522" w:rsidRDefault="008B3807" w:rsidP="006B16E5">
      <w:pPr>
        <w:pStyle w:val="Heading1"/>
        <w:rPr>
          <w:color w:val="000000"/>
        </w:rPr>
      </w:pPr>
      <w:r>
        <w:rPr>
          <w:color w:val="000000"/>
        </w:rPr>
        <w:t>5</w:t>
      </w:r>
      <w:r w:rsidR="006B16E5">
        <w:rPr>
          <w:color w:val="000000"/>
        </w:rPr>
        <w:t>.</w:t>
      </w:r>
      <w:r w:rsidR="00D61E9A">
        <w:rPr>
          <w:color w:val="000000"/>
        </w:rPr>
        <w:t xml:space="preserve"> PRACH</w:t>
      </w:r>
    </w:p>
    <w:p w14:paraId="006E9796" w14:textId="19F30D40" w:rsidR="00FF2A3C" w:rsidRDefault="004E4414" w:rsidP="00BA2C3D">
      <w:pPr>
        <w:overflowPunct/>
        <w:autoSpaceDE/>
        <w:autoSpaceDN/>
        <w:snapToGrid w:val="0"/>
        <w:spacing w:after="60"/>
        <w:jc w:val="both"/>
        <w:textAlignment w:val="auto"/>
      </w:pPr>
      <w:r>
        <w:t>O</w:t>
      </w:r>
      <w:r w:rsidR="00FF2A3C">
        <w:t xml:space="preserve">n the design of PRACH for NR-U, the OCB and maximum allowed power spectral density are the key regulatory aspects considered. In previous meetings, several design approaches have been presented. </w:t>
      </w:r>
      <w:r w:rsidR="00BA2C3D">
        <w:t>The main approaches can be categorized as follows:</w:t>
      </w:r>
      <w:r w:rsidR="00FF2A3C">
        <w:t xml:space="preserve"> </w:t>
      </w:r>
    </w:p>
    <w:p w14:paraId="624DD2D0" w14:textId="7364636D" w:rsidR="00BA2C3D" w:rsidRPr="00BA2C3D" w:rsidRDefault="00BA2C3D" w:rsidP="00BA2C3D">
      <w:pPr>
        <w:numPr>
          <w:ilvl w:val="0"/>
          <w:numId w:val="68"/>
        </w:numPr>
        <w:overflowPunct/>
        <w:autoSpaceDE/>
        <w:autoSpaceDN/>
        <w:snapToGrid w:val="0"/>
        <w:spacing w:after="60"/>
        <w:jc w:val="both"/>
        <w:textAlignment w:val="auto"/>
      </w:pPr>
      <w:r>
        <w:rPr>
          <w:rFonts w:eastAsia="Times New Roman"/>
          <w:szCs w:val="22"/>
        </w:rPr>
        <w:t>Normal</w:t>
      </w:r>
      <w:r w:rsidRPr="00BA2C3D">
        <w:rPr>
          <w:rFonts w:eastAsia="Times New Roman"/>
          <w:b/>
          <w:szCs w:val="22"/>
        </w:rPr>
        <w:t xml:space="preserve"> IFDM</w:t>
      </w:r>
      <w:r>
        <w:rPr>
          <w:rFonts w:eastAsia="Times New Roman"/>
          <w:szCs w:val="22"/>
        </w:rPr>
        <w:t xml:space="preserve"> is applied, with the sequence mapped to individual subcarriers with uniform spacing.</w:t>
      </w:r>
      <w:r w:rsidR="00741A21">
        <w:rPr>
          <w:rFonts w:eastAsia="Times New Roman"/>
          <w:szCs w:val="22"/>
        </w:rPr>
        <w:t xml:space="preserve"> The mapping creates additional autocorrelation peaks reducing the usable zero-autocorrelation zone (ZAZ) of CAZAZ sequence. The usable ZAZ is 1/n of preamble </w:t>
      </w:r>
      <w:r w:rsidR="00127B5C">
        <w:rPr>
          <w:rFonts w:eastAsia="Times New Roman"/>
          <w:szCs w:val="22"/>
        </w:rPr>
        <w:t xml:space="preserve">sequence </w:t>
      </w:r>
      <w:r w:rsidR="00741A21">
        <w:rPr>
          <w:rFonts w:eastAsia="Times New Roman"/>
          <w:szCs w:val="22"/>
        </w:rPr>
        <w:t xml:space="preserve">duration for IFDM with repetition factor n.  </w:t>
      </w:r>
      <w:r>
        <w:rPr>
          <w:rFonts w:eastAsia="Times New Roman"/>
          <w:szCs w:val="22"/>
        </w:rPr>
        <w:t xml:space="preserve">   </w:t>
      </w:r>
    </w:p>
    <w:p w14:paraId="78C0C665" w14:textId="58D4B69E" w:rsidR="004909F0" w:rsidRDefault="00FF2A3C" w:rsidP="004909F0">
      <w:pPr>
        <w:numPr>
          <w:ilvl w:val="0"/>
          <w:numId w:val="68"/>
        </w:numPr>
        <w:overflowPunct/>
        <w:autoSpaceDE/>
        <w:autoSpaceDN/>
        <w:snapToGrid w:val="0"/>
        <w:spacing w:after="60"/>
        <w:jc w:val="both"/>
        <w:textAlignment w:val="auto"/>
      </w:pPr>
      <w:r w:rsidRPr="004909F0">
        <w:rPr>
          <w:b/>
        </w:rPr>
        <w:t>B</w:t>
      </w:r>
      <w:r w:rsidR="004909F0" w:rsidRPr="004909F0">
        <w:rPr>
          <w:b/>
        </w:rPr>
        <w:t>-</w:t>
      </w:r>
      <w:r w:rsidRPr="004909F0">
        <w:rPr>
          <w:b/>
        </w:rPr>
        <w:t>IFDM</w:t>
      </w:r>
      <w:r w:rsidR="00BA2C3D" w:rsidRPr="004909F0">
        <w:rPr>
          <w:b/>
        </w:rPr>
        <w:t>,</w:t>
      </w:r>
      <w:r w:rsidR="00BA2C3D">
        <w:t xml:space="preserve"> that is, the sequence is mapped to several blocks of consecutive subcarriers. With uniform spacing of blocks, e</w:t>
      </w:r>
      <w:r w:rsidR="004909F0">
        <w:t>.g., PRBs, t</w:t>
      </w:r>
      <w:r w:rsidR="00BA2C3D" w:rsidRPr="00BF0F31">
        <w:rPr>
          <w:lang w:val="en-US"/>
        </w:rPr>
        <w:t>he autocorrelation of B-IFDM-based preamble has many false peaks</w:t>
      </w:r>
      <w:r w:rsidR="00127B5C">
        <w:rPr>
          <w:lang w:val="en-US"/>
        </w:rPr>
        <w:t>. T</w:t>
      </w:r>
      <w:r w:rsidR="00BA2C3D" w:rsidRPr="00BF0F31">
        <w:rPr>
          <w:lang w:val="en-US"/>
        </w:rPr>
        <w:t>hose false peaks will compromise the accuracy of TA estimation seriously, since the false peaks are easily confused with the main peak when the impact of multi-path propagation, noise and interference are added</w:t>
      </w:r>
      <w:r w:rsidR="004909F0">
        <w:rPr>
          <w:lang w:val="en-US"/>
        </w:rPr>
        <w:t xml:space="preserve"> as shown in Figure </w:t>
      </w:r>
      <w:r w:rsidR="00564EAF">
        <w:rPr>
          <w:lang w:val="en-US"/>
        </w:rPr>
        <w:t>6</w:t>
      </w:r>
      <w:r w:rsidR="004909F0">
        <w:rPr>
          <w:lang w:val="en-US"/>
        </w:rPr>
        <w:t xml:space="preserve">. To mitigate this problem, </w:t>
      </w:r>
      <w:r>
        <w:t>non-uniform spacing of</w:t>
      </w:r>
      <w:r w:rsidR="004909F0">
        <w:t xml:space="preserve"> the blocks have been proposed. This approach suppresses the false peaks enough to improve timing estimation accuracy. However, the false peaks remain so high that cyclic shift domain cannot be used to multiplex PRACH preambles.</w:t>
      </w:r>
    </w:p>
    <w:p w14:paraId="32F96D55" w14:textId="736EB0A0" w:rsidR="00FF2A3C" w:rsidRPr="0072540C" w:rsidRDefault="00FF2A3C" w:rsidP="0072540C">
      <w:pPr>
        <w:numPr>
          <w:ilvl w:val="0"/>
          <w:numId w:val="68"/>
        </w:numPr>
        <w:snapToGrid w:val="0"/>
        <w:spacing w:after="60"/>
        <w:jc w:val="both"/>
      </w:pPr>
      <w:r w:rsidRPr="004909F0">
        <w:rPr>
          <w:b/>
        </w:rPr>
        <w:t>TinB-IFDM</w:t>
      </w:r>
      <w:r w:rsidR="004909F0">
        <w:t>, that is, the sequence is mapped to individual subcarriers on the blocks of B-IFDM interlace suitable for PUSCH/PUCCH. In here, fundamentally different approach is taken</w:t>
      </w:r>
      <w:r w:rsidR="00741A21">
        <w:t xml:space="preserve"> to tackle the timing estimation problem with numerous false correlation peaks. In the approach, the distance between correlation peaks is increased so that the timing uncertainty window of cell fits fully between the correlation peaks. To increase the distance between correlation peaks, the distance between interlace blocks needs to be decreased. </w:t>
      </w:r>
      <w:r w:rsidR="0072540C">
        <w:t xml:space="preserve">In [7], it was analysed that </w:t>
      </w:r>
      <w:r w:rsidR="0072540C">
        <w:rPr>
          <w:lang w:val="en-US"/>
        </w:rPr>
        <w:t>the block</w:t>
      </w:r>
      <w:r w:rsidR="0072540C" w:rsidRPr="0072540C">
        <w:rPr>
          <w:lang w:val="en-US"/>
        </w:rPr>
        <w:t xml:space="preserve"> spacing should </w:t>
      </w:r>
      <w:r w:rsidR="0072540C">
        <w:rPr>
          <w:lang w:val="en-US"/>
        </w:rPr>
        <w:t>be 0.6</w:t>
      </w:r>
      <w:r w:rsidR="0072540C" w:rsidRPr="0072540C">
        <w:rPr>
          <w:lang w:val="en-US"/>
        </w:rPr>
        <w:t xml:space="preserve"> MHz</w:t>
      </w:r>
      <w:r w:rsidR="0072540C">
        <w:rPr>
          <w:lang w:val="en-US"/>
        </w:rPr>
        <w:t xml:space="preserve"> or less for a cell size of </w:t>
      </w:r>
      <w:r w:rsidR="000B7B9A" w:rsidRPr="0072540C">
        <w:rPr>
          <w:lang w:val="en-US"/>
        </w:rPr>
        <w:t xml:space="preserve">115 m (i.e., 200 m ISD) </w:t>
      </w:r>
      <w:r w:rsidR="0072540C">
        <w:rPr>
          <w:lang w:val="en-US"/>
        </w:rPr>
        <w:t xml:space="preserve">with 0.87 us allowance for </w:t>
      </w:r>
      <w:r w:rsidR="000B7B9A" w:rsidRPr="0072540C">
        <w:rPr>
          <w:lang w:val="en-US"/>
        </w:rPr>
        <w:t>channel delay spread</w:t>
      </w:r>
      <w:r w:rsidR="0072540C">
        <w:rPr>
          <w:lang w:val="en-US"/>
        </w:rPr>
        <w:t>.</w:t>
      </w:r>
    </w:p>
    <w:p w14:paraId="77579B8E" w14:textId="6CF95C58" w:rsidR="00993CD5" w:rsidRDefault="008357B1" w:rsidP="00993CD5">
      <w:pPr>
        <w:numPr>
          <w:ilvl w:val="0"/>
          <w:numId w:val="68"/>
        </w:numPr>
        <w:overflowPunct/>
        <w:autoSpaceDE/>
        <w:autoSpaceDN/>
        <w:snapToGrid w:val="0"/>
        <w:spacing w:after="0"/>
        <w:jc w:val="both"/>
        <w:textAlignment w:val="auto"/>
      </w:pPr>
      <w:r>
        <w:rPr>
          <w:b/>
        </w:rPr>
        <w:t>F</w:t>
      </w:r>
      <w:r w:rsidRPr="004928D9">
        <w:rPr>
          <w:b/>
        </w:rPr>
        <w:t>requency continuous</w:t>
      </w:r>
      <w:r>
        <w:t xml:space="preserve"> </w:t>
      </w:r>
      <w:r w:rsidRPr="00921786">
        <w:rPr>
          <w:b/>
        </w:rPr>
        <w:t xml:space="preserve">preamble </w:t>
      </w:r>
      <w:r>
        <w:t>is</w:t>
      </w:r>
      <w:r w:rsidR="0019151B">
        <w:t xml:space="preserve"> approach </w:t>
      </w:r>
      <w:r>
        <w:t>where</w:t>
      </w:r>
      <w:r w:rsidR="0019151B">
        <w:t xml:space="preserve"> </w:t>
      </w:r>
      <w:r w:rsidR="002F4CEA">
        <w:t xml:space="preserve">the sequence </w:t>
      </w:r>
      <w:r>
        <w:t xml:space="preserve">is </w:t>
      </w:r>
      <w:r w:rsidR="002F4CEA">
        <w:t>m</w:t>
      </w:r>
      <w:r w:rsidR="001B484B">
        <w:t>ap</w:t>
      </w:r>
      <w:r w:rsidR="002F4CEA">
        <w:t>p</w:t>
      </w:r>
      <w:r>
        <w:t>ed</w:t>
      </w:r>
      <w:r w:rsidR="002F4CEA">
        <w:t xml:space="preserve"> </w:t>
      </w:r>
      <w:r w:rsidR="0019151B">
        <w:t>to</w:t>
      </w:r>
      <w:r w:rsidR="002F4CEA">
        <w:t xml:space="preserve"> contiguous</w:t>
      </w:r>
      <w:r w:rsidR="00FF2A3C" w:rsidRPr="0019151B">
        <w:rPr>
          <w:b/>
        </w:rPr>
        <w:t xml:space="preserve"> </w:t>
      </w:r>
      <w:r w:rsidR="001B484B" w:rsidRPr="0019151B">
        <w:t>subcarriers.</w:t>
      </w:r>
      <w:r w:rsidR="00993CD5">
        <w:t xml:space="preserve"> The solution allows to reuse Rel-15 NR PRACH design with only minor changes due to OCB requirement. In relation to OCB requirement</w:t>
      </w:r>
      <w:r w:rsidR="00993CD5">
        <w:rPr>
          <w:lang w:eastAsia="zh-CN"/>
        </w:rPr>
        <w:t>, two cases are considered</w:t>
      </w:r>
      <w:r w:rsidR="00A81DC4">
        <w:rPr>
          <w:lang w:eastAsia="zh-CN"/>
        </w:rPr>
        <w:t xml:space="preserve"> as illustrated in Figure </w:t>
      </w:r>
      <w:r w:rsidR="00564EAF">
        <w:rPr>
          <w:lang w:eastAsia="zh-CN"/>
        </w:rPr>
        <w:t>7</w:t>
      </w:r>
      <w:r w:rsidR="00993CD5">
        <w:rPr>
          <w:lang w:eastAsia="zh-CN"/>
        </w:rPr>
        <w:t xml:space="preserve">: </w:t>
      </w:r>
    </w:p>
    <w:p w14:paraId="6B81553D" w14:textId="7BC6893E" w:rsidR="00993CD5" w:rsidRPr="00993CD5" w:rsidRDefault="00A81DC4" w:rsidP="00A81DC4">
      <w:pPr>
        <w:pStyle w:val="ListParagraph"/>
        <w:numPr>
          <w:ilvl w:val="0"/>
          <w:numId w:val="49"/>
        </w:numPr>
        <w:jc w:val="both"/>
        <w:rPr>
          <w:lang w:val="en-US"/>
        </w:rPr>
      </w:pPr>
      <w:r>
        <w:rPr>
          <w:sz w:val="20"/>
          <w:szCs w:val="20"/>
          <w:lang w:val="en-US"/>
        </w:rPr>
        <w:t xml:space="preserve">In RAN1#93 [3], </w:t>
      </w:r>
      <w:r w:rsidRPr="00A81DC4">
        <w:rPr>
          <w:sz w:val="20"/>
          <w:szCs w:val="20"/>
          <w:lang w:val="en-US"/>
        </w:rPr>
        <w:t xml:space="preserve">it was noted that: </w:t>
      </w:r>
      <w:r w:rsidRPr="00A81DC4">
        <w:rPr>
          <w:i/>
          <w:sz w:val="20"/>
          <w:szCs w:val="20"/>
          <w:lang w:val="en-US"/>
        </w:rPr>
        <w:t>“It is RAN1’s understanding that the temporal allowance of not meeting occupied channel bandwidth by regulation can be exploited if the minimum bandwidth requirement, e.g., 2 MHz, is satisfied.”</w:t>
      </w:r>
      <w:r>
        <w:rPr>
          <w:sz w:val="20"/>
          <w:szCs w:val="20"/>
          <w:lang w:val="en-US"/>
        </w:rPr>
        <w:t xml:space="preserve"> </w:t>
      </w:r>
      <w:r w:rsidR="00993CD5" w:rsidRPr="004301F7">
        <w:rPr>
          <w:sz w:val="20"/>
          <w:szCs w:val="20"/>
          <w:lang w:val="en-US"/>
        </w:rPr>
        <w:t xml:space="preserve">When PRACH is transmitted on the UL portion of gNB acquired </w:t>
      </w:r>
      <w:r w:rsidR="00993CD5">
        <w:rPr>
          <w:sz w:val="20"/>
          <w:szCs w:val="20"/>
          <w:lang w:val="en-US"/>
        </w:rPr>
        <w:t xml:space="preserve">shared </w:t>
      </w:r>
      <w:r w:rsidR="00993CD5" w:rsidRPr="004301F7">
        <w:rPr>
          <w:sz w:val="20"/>
          <w:szCs w:val="20"/>
          <w:lang w:val="en-US"/>
        </w:rPr>
        <w:t xml:space="preserve">COT, the </w:t>
      </w:r>
      <w:r w:rsidR="00993CD5" w:rsidRPr="004301F7">
        <w:rPr>
          <w:color w:val="000000"/>
          <w:sz w:val="20"/>
          <w:szCs w:val="20"/>
          <w:lang w:val="en-US"/>
        </w:rPr>
        <w:t xml:space="preserve">preceding DL transmission fulfills the OCB requirement and the PRACH BW may be less than the OCB requirement. </w:t>
      </w:r>
      <w:r w:rsidR="00993CD5" w:rsidRPr="004301F7">
        <w:rPr>
          <w:sz w:val="20"/>
          <w:szCs w:val="20"/>
          <w:lang w:val="en-US"/>
        </w:rPr>
        <w:t>Rel-15 NR short sequence PRACH preamble may be used</w:t>
      </w:r>
      <w:r>
        <w:rPr>
          <w:sz w:val="20"/>
          <w:szCs w:val="20"/>
          <w:lang w:val="en-US"/>
        </w:rPr>
        <w:t xml:space="preserve">, as it has </w:t>
      </w:r>
      <w:r w:rsidRPr="00A81DC4">
        <w:rPr>
          <w:color w:val="000000"/>
          <w:sz w:val="20"/>
          <w:szCs w:val="20"/>
          <w:lang w:val="en-US"/>
        </w:rPr>
        <w:t>the bandwidth</w:t>
      </w:r>
      <w:r>
        <w:rPr>
          <w:color w:val="000000"/>
          <w:sz w:val="20"/>
          <w:szCs w:val="20"/>
          <w:lang w:val="en-US"/>
        </w:rPr>
        <w:t xml:space="preserve"> of </w:t>
      </w:r>
      <w:r w:rsidRPr="00A81DC4">
        <w:rPr>
          <w:color w:val="000000"/>
          <w:sz w:val="20"/>
          <w:szCs w:val="20"/>
          <w:lang w:val="en-US"/>
        </w:rPr>
        <w:t>2.16 MHz and 4.32 MHz</w:t>
      </w:r>
      <w:r>
        <w:rPr>
          <w:color w:val="000000"/>
          <w:sz w:val="20"/>
          <w:szCs w:val="20"/>
          <w:lang w:val="en-US"/>
        </w:rPr>
        <w:t xml:space="preserve"> for with 15 and 30 kHz SCS, respectively</w:t>
      </w:r>
      <w:r w:rsidR="00993CD5" w:rsidRPr="00A81DC4">
        <w:rPr>
          <w:color w:val="000000"/>
          <w:sz w:val="20"/>
          <w:szCs w:val="20"/>
          <w:lang w:val="en-US"/>
        </w:rPr>
        <w:t>. The PRACH pream</w:t>
      </w:r>
      <w:r w:rsidR="00993CD5" w:rsidRPr="004301F7">
        <w:rPr>
          <w:sz w:val="20"/>
          <w:szCs w:val="20"/>
          <w:lang w:val="en-US"/>
        </w:rPr>
        <w:t xml:space="preserve">ble is narrow enough to support </w:t>
      </w:r>
      <w:r w:rsidR="00993CD5">
        <w:rPr>
          <w:sz w:val="20"/>
          <w:szCs w:val="20"/>
          <w:lang w:val="en-US"/>
        </w:rPr>
        <w:t xml:space="preserve">simple and efficient </w:t>
      </w:r>
      <w:r w:rsidR="00993CD5" w:rsidRPr="004301F7">
        <w:rPr>
          <w:sz w:val="20"/>
          <w:szCs w:val="20"/>
          <w:lang w:val="en-US"/>
        </w:rPr>
        <w:t>FDMA with PUSCH</w:t>
      </w:r>
      <w:r w:rsidR="00993CD5">
        <w:rPr>
          <w:sz w:val="20"/>
          <w:szCs w:val="20"/>
          <w:lang w:val="en-US"/>
        </w:rPr>
        <w:t>.</w:t>
      </w:r>
    </w:p>
    <w:p w14:paraId="523A583F" w14:textId="4E9002A3" w:rsidR="00993CD5" w:rsidRPr="002F4CEA" w:rsidRDefault="00993CD5" w:rsidP="00993CD5">
      <w:pPr>
        <w:pStyle w:val="ListParagraph"/>
        <w:numPr>
          <w:ilvl w:val="0"/>
          <w:numId w:val="49"/>
        </w:numPr>
        <w:jc w:val="both"/>
        <w:rPr>
          <w:lang w:val="en-US"/>
        </w:rPr>
      </w:pPr>
      <w:r w:rsidRPr="00BF0F31">
        <w:rPr>
          <w:sz w:val="20"/>
          <w:szCs w:val="20"/>
          <w:lang w:val="en-US"/>
        </w:rPr>
        <w:t>When PRACH is transmitted on UE acquired COT,</w:t>
      </w:r>
      <w:r w:rsidR="00A81DC4">
        <w:rPr>
          <w:sz w:val="20"/>
          <w:szCs w:val="20"/>
          <w:lang w:val="en-US"/>
        </w:rPr>
        <w:t xml:space="preserve"> </w:t>
      </w:r>
      <w:r w:rsidR="00A81DC4" w:rsidRPr="00BF0F31">
        <w:rPr>
          <w:sz w:val="20"/>
          <w:szCs w:val="20"/>
          <w:lang w:val="en-US"/>
        </w:rPr>
        <w:t xml:space="preserve">it is not </w:t>
      </w:r>
      <w:r w:rsidR="000D6E55">
        <w:rPr>
          <w:sz w:val="20"/>
          <w:szCs w:val="20"/>
          <w:lang w:val="en-US"/>
        </w:rPr>
        <w:t>necessary</w:t>
      </w:r>
      <w:r w:rsidR="00A81DC4" w:rsidRPr="00BF0F31">
        <w:rPr>
          <w:sz w:val="20"/>
          <w:szCs w:val="20"/>
          <w:lang w:val="en-US"/>
        </w:rPr>
        <w:t xml:space="preserve"> to support FDMA between PUSCH and PRACH.</w:t>
      </w:r>
      <w:r w:rsidR="00A81DC4">
        <w:rPr>
          <w:sz w:val="20"/>
          <w:szCs w:val="20"/>
          <w:lang w:val="en-US"/>
        </w:rPr>
        <w:t xml:space="preserve"> Hence,</w:t>
      </w:r>
      <w:r w:rsidRPr="00BF0F31">
        <w:rPr>
          <w:sz w:val="20"/>
          <w:szCs w:val="20"/>
          <w:lang w:val="en-US"/>
        </w:rPr>
        <w:t xml:space="preserve"> </w:t>
      </w:r>
      <w:r w:rsidR="008828D6">
        <w:rPr>
          <w:sz w:val="20"/>
          <w:szCs w:val="20"/>
          <w:lang w:val="en-US"/>
        </w:rPr>
        <w:t xml:space="preserve">PRACH transmission satisfying OCB requirement but not optimized for PUSCH multiplexing can be used. For example, a wide reference signal may be transmitted before or after the PRACH preamble. Alternatively, the PRACH preamble may be </w:t>
      </w:r>
      <w:r w:rsidR="000D6E55">
        <w:rPr>
          <w:sz w:val="20"/>
          <w:szCs w:val="20"/>
          <w:lang w:val="en-US"/>
        </w:rPr>
        <w:t xml:space="preserve">a </w:t>
      </w:r>
      <w:r>
        <w:rPr>
          <w:sz w:val="20"/>
          <w:szCs w:val="20"/>
          <w:lang w:val="en-US"/>
        </w:rPr>
        <w:t xml:space="preserve">frequency </w:t>
      </w:r>
      <w:r w:rsidR="005D0B65">
        <w:rPr>
          <w:sz w:val="20"/>
          <w:szCs w:val="20"/>
          <w:lang w:val="en-GB"/>
        </w:rPr>
        <w:t>continuous</w:t>
      </w:r>
      <w:r w:rsidRPr="00A81DC4">
        <w:rPr>
          <w:sz w:val="20"/>
          <w:szCs w:val="20"/>
          <w:lang w:val="en-US"/>
        </w:rPr>
        <w:t xml:space="preserve"> PRACH preamble satisfying OCB requirem</w:t>
      </w:r>
      <w:r w:rsidR="00A81DC4" w:rsidRPr="00A81DC4">
        <w:rPr>
          <w:sz w:val="20"/>
          <w:szCs w:val="20"/>
          <w:lang w:val="en-US"/>
        </w:rPr>
        <w:t>ent</w:t>
      </w:r>
      <w:r w:rsidRPr="00A81DC4">
        <w:rPr>
          <w:sz w:val="20"/>
          <w:szCs w:val="20"/>
          <w:lang w:val="en-US"/>
        </w:rPr>
        <w:t>. The PRACH preamble could be directly based on NR Rel-15 short sequence PRACH preamble design with the Zadoff-Chu sequence extended to increase PRACH BW up to the OCB requirement.</w:t>
      </w:r>
      <w:r w:rsidR="00A81DC4" w:rsidRPr="00A81DC4">
        <w:rPr>
          <w:sz w:val="20"/>
          <w:szCs w:val="20"/>
          <w:lang w:val="en-US"/>
        </w:rPr>
        <w:t xml:space="preserve"> Another approach to meet the OCB requirement is to transmit two repetitions of the preamble at the two sides of the transmission bandwidth. The span of the two repetitions satisfies the OCB requirement.</w:t>
      </w:r>
      <w:r w:rsidRPr="00BF0F31">
        <w:rPr>
          <w:sz w:val="20"/>
          <w:szCs w:val="20"/>
          <w:lang w:val="en-US"/>
        </w:rPr>
        <w:t xml:space="preserve"> </w:t>
      </w:r>
    </w:p>
    <w:p w14:paraId="23584ABF" w14:textId="32EB3F30" w:rsidR="00993CD5" w:rsidRDefault="00993CD5" w:rsidP="00993CD5">
      <w:pPr>
        <w:overflowPunct/>
        <w:autoSpaceDE/>
        <w:autoSpaceDN/>
        <w:adjustRightInd/>
        <w:spacing w:after="0"/>
        <w:textAlignment w:val="auto"/>
        <w:rPr>
          <w:lang w:val="en-US" w:eastAsia="zh-CN"/>
        </w:rPr>
      </w:pPr>
    </w:p>
    <w:p w14:paraId="447179E4" w14:textId="77777777" w:rsidR="002F4CEA" w:rsidRDefault="002F4CEA" w:rsidP="002F4CEA">
      <w:pPr>
        <w:overflowPunct/>
        <w:autoSpaceDE/>
        <w:autoSpaceDN/>
        <w:adjustRightInd/>
        <w:spacing w:after="0"/>
        <w:jc w:val="center"/>
        <w:textAlignment w:val="auto"/>
        <w:rPr>
          <w:rFonts w:cs="Arial"/>
          <w:lang w:val="en-US"/>
        </w:rPr>
      </w:pPr>
      <w:r>
        <w:rPr>
          <w:rFonts w:ascii="Nokia Pure Text Light" w:hAnsi="Nokia Pure Text Light" w:cs="Nokia Pure Text Light"/>
          <w:noProof/>
          <w:szCs w:val="21"/>
          <w:lang w:val="en-US" w:eastAsia="zh-CN"/>
        </w:rPr>
        <w:drawing>
          <wp:inline distT="0" distB="0" distL="0" distR="0" wp14:anchorId="3D96A572" wp14:editId="6BB43AD0">
            <wp:extent cx="3027600" cy="227160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27600" cy="2271600"/>
                    </a:xfrm>
                    <a:prstGeom prst="rect">
                      <a:avLst/>
                    </a:prstGeom>
                  </pic:spPr>
                </pic:pic>
              </a:graphicData>
            </a:graphic>
          </wp:inline>
        </w:drawing>
      </w:r>
      <w:r>
        <w:rPr>
          <w:rFonts w:ascii="Nokia Pure Text Light" w:hAnsi="Nokia Pure Text Light" w:cs="Nokia Pure Text Light"/>
          <w:noProof/>
          <w:szCs w:val="21"/>
          <w:lang w:val="en-US" w:eastAsia="zh-CN"/>
        </w:rPr>
        <w:drawing>
          <wp:inline distT="0" distB="0" distL="0" distR="0" wp14:anchorId="115B73E3" wp14:editId="7B9DB1A0">
            <wp:extent cx="3027600" cy="227160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5.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27600" cy="2271600"/>
                    </a:xfrm>
                    <a:prstGeom prst="rect">
                      <a:avLst/>
                    </a:prstGeom>
                  </pic:spPr>
                </pic:pic>
              </a:graphicData>
            </a:graphic>
          </wp:inline>
        </w:drawing>
      </w:r>
    </w:p>
    <w:p w14:paraId="505DE7E9" w14:textId="05C1FD16" w:rsidR="002F4CEA" w:rsidRPr="00447088" w:rsidRDefault="002F4CEA" w:rsidP="002F4CEA">
      <w:pPr>
        <w:overflowPunct/>
        <w:autoSpaceDE/>
        <w:autoSpaceDN/>
        <w:adjustRightInd/>
        <w:spacing w:after="0"/>
        <w:jc w:val="center"/>
        <w:textAlignment w:val="auto"/>
        <w:rPr>
          <w:rFonts w:ascii="Arial" w:eastAsia="Arial" w:hAnsi="Arial" w:cs="Arial"/>
          <w:b/>
          <w:lang w:val="en-US" w:eastAsia="zh-CN"/>
        </w:rPr>
      </w:pPr>
      <w:r w:rsidRPr="00447088">
        <w:rPr>
          <w:b/>
          <w:lang w:val="en-US" w:eastAsia="zh-CN"/>
        </w:rPr>
        <w:t xml:space="preserve">Figure </w:t>
      </w:r>
      <w:r w:rsidR="004A6E18">
        <w:rPr>
          <w:b/>
          <w:lang w:val="en-US" w:eastAsia="zh-CN"/>
        </w:rPr>
        <w:t>6</w:t>
      </w:r>
      <w:r>
        <w:rPr>
          <w:rFonts w:ascii="Arial" w:eastAsia="Arial" w:hAnsi="Arial" w:cs="Arial"/>
          <w:b/>
          <w:lang w:val="en-US" w:eastAsia="zh-CN"/>
        </w:rPr>
        <w:t>.</w:t>
      </w:r>
      <w:r w:rsidRPr="00447088">
        <w:rPr>
          <w:rFonts w:ascii="Arial" w:eastAsia="Arial" w:hAnsi="Arial" w:cs="Arial"/>
          <w:b/>
          <w:lang w:val="en-US" w:eastAsia="zh-CN"/>
        </w:rPr>
        <w:t xml:space="preserve"> </w:t>
      </w:r>
      <w:r w:rsidRPr="00447088">
        <w:rPr>
          <w:b/>
          <w:lang w:val="en-US" w:eastAsia="zh-CN"/>
        </w:rPr>
        <w:t>Autocorrelation of B-IFDM-based preamble</w:t>
      </w:r>
    </w:p>
    <w:p w14:paraId="05E3E3B7" w14:textId="51306704" w:rsidR="002F4CEA" w:rsidRDefault="002F4CEA" w:rsidP="00993CD5">
      <w:pPr>
        <w:overflowPunct/>
        <w:autoSpaceDE/>
        <w:autoSpaceDN/>
        <w:adjustRightInd/>
        <w:spacing w:after="0"/>
        <w:textAlignment w:val="auto"/>
        <w:rPr>
          <w:lang w:val="en-US" w:eastAsia="zh-CN"/>
        </w:rPr>
      </w:pPr>
    </w:p>
    <w:p w14:paraId="48ECEDF4" w14:textId="77777777" w:rsidR="002F4CEA" w:rsidRDefault="002F4CEA" w:rsidP="00993CD5">
      <w:pPr>
        <w:overflowPunct/>
        <w:autoSpaceDE/>
        <w:autoSpaceDN/>
        <w:adjustRightInd/>
        <w:spacing w:after="0"/>
        <w:textAlignment w:val="auto"/>
        <w:rPr>
          <w:lang w:val="en-US" w:eastAsia="zh-CN"/>
        </w:rPr>
      </w:pPr>
    </w:p>
    <w:p w14:paraId="0D383D68" w14:textId="629426AD" w:rsidR="00993CD5" w:rsidRDefault="002F4CEA" w:rsidP="00993CD5">
      <w:pPr>
        <w:overflowPunct/>
        <w:autoSpaceDE/>
        <w:autoSpaceDN/>
        <w:adjustRightInd/>
        <w:spacing w:after="0"/>
        <w:jc w:val="center"/>
        <w:textAlignment w:val="auto"/>
        <w:rPr>
          <w:sz w:val="24"/>
          <w:szCs w:val="24"/>
          <w:lang w:val="en-US" w:eastAsia="zh-CN"/>
        </w:rPr>
      </w:pPr>
      <w:r w:rsidRPr="002F4CEA">
        <w:rPr>
          <w:noProof/>
        </w:rPr>
        <w:drawing>
          <wp:inline distT="0" distB="0" distL="0" distR="0" wp14:anchorId="74E705F0" wp14:editId="54CDCB14">
            <wp:extent cx="5641200" cy="2185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1200" cy="2185200"/>
                    </a:xfrm>
                    <a:prstGeom prst="rect">
                      <a:avLst/>
                    </a:prstGeom>
                    <a:noFill/>
                    <a:ln>
                      <a:noFill/>
                    </a:ln>
                  </pic:spPr>
                </pic:pic>
              </a:graphicData>
            </a:graphic>
          </wp:inline>
        </w:drawing>
      </w:r>
    </w:p>
    <w:p w14:paraId="41988537" w14:textId="7E16EE9C" w:rsidR="00993CD5" w:rsidRPr="00E859C0" w:rsidRDefault="00993CD5" w:rsidP="004928D9">
      <w:pPr>
        <w:pStyle w:val="Caption"/>
        <w:spacing w:after="240"/>
        <w:jc w:val="center"/>
        <w:rPr>
          <w:sz w:val="24"/>
          <w:szCs w:val="24"/>
          <w:lang w:val="en-US" w:eastAsia="zh-CN"/>
        </w:rPr>
      </w:pPr>
      <w:r>
        <w:t xml:space="preserve">Figure </w:t>
      </w:r>
      <w:r w:rsidR="004A6E18">
        <w:t>7</w:t>
      </w:r>
      <w:r>
        <w:t xml:space="preserve">. </w:t>
      </w:r>
      <w:r w:rsidR="005D0B65">
        <w:t xml:space="preserve">Frequency continuous </w:t>
      </w:r>
      <w:r>
        <w:t>PRACH preamble for (a) PRACH in gNB acquired shared COT and (b) in UE acquired COT.</w:t>
      </w:r>
    </w:p>
    <w:p w14:paraId="7E217135" w14:textId="4EACB93E" w:rsidR="004928D9" w:rsidRPr="004E4414" w:rsidRDefault="004928D9" w:rsidP="004928D9">
      <w:pPr>
        <w:overflowPunct/>
        <w:autoSpaceDE/>
        <w:autoSpaceDN/>
        <w:adjustRightInd/>
        <w:spacing w:after="0"/>
        <w:jc w:val="both"/>
        <w:textAlignment w:val="auto"/>
        <w:rPr>
          <w:lang w:eastAsia="zh-CN"/>
        </w:rPr>
      </w:pPr>
      <w:r w:rsidRPr="004E4414">
        <w:rPr>
          <w:lang w:eastAsia="zh-CN"/>
        </w:rPr>
        <w:t xml:space="preserve">We compared the presented approaches in terms of PRACH capacity, overhead, allowed Tx power, PAPR/CM, and multiplexing with PUSCH/PUCCH. </w:t>
      </w:r>
      <w:r w:rsidR="009B0451" w:rsidRPr="004E4414">
        <w:rPr>
          <w:lang w:eastAsia="zh-CN"/>
        </w:rPr>
        <w:t>In the comparison, we assumed 30 kHz SCS</w:t>
      </w:r>
      <w:r w:rsidR="00FA4A40" w:rsidRPr="004E4414">
        <w:rPr>
          <w:lang w:eastAsia="zh-CN"/>
        </w:rPr>
        <w:t>,</w:t>
      </w:r>
      <w:r w:rsidR="00A5266E" w:rsidRPr="004E4414">
        <w:rPr>
          <w:lang w:eastAsia="zh-CN"/>
        </w:rPr>
        <w:t xml:space="preserve"> 20 MHz</w:t>
      </w:r>
      <w:r w:rsidR="00FA4A40" w:rsidRPr="004E4414">
        <w:rPr>
          <w:lang w:eastAsia="zh-CN"/>
        </w:rPr>
        <w:t xml:space="preserve"> BWP of 51 PRBs</w:t>
      </w:r>
      <w:r w:rsidR="009B0451" w:rsidRPr="004E4414">
        <w:rPr>
          <w:lang w:eastAsia="zh-CN"/>
        </w:rPr>
        <w:t xml:space="preserve"> as well as </w:t>
      </w:r>
      <w:r w:rsidR="000D6E55">
        <w:rPr>
          <w:lang w:eastAsia="zh-CN"/>
        </w:rPr>
        <w:t xml:space="preserve">following </w:t>
      </w:r>
      <w:r w:rsidR="009B0451" w:rsidRPr="004E4414">
        <w:rPr>
          <w:lang w:eastAsia="zh-CN"/>
        </w:rPr>
        <w:t xml:space="preserve">particular designs for </w:t>
      </w:r>
      <w:r w:rsidR="00FA4A40" w:rsidRPr="004E4414">
        <w:rPr>
          <w:lang w:eastAsia="zh-CN"/>
        </w:rPr>
        <w:t xml:space="preserve">the </w:t>
      </w:r>
      <w:r w:rsidR="009B0451" w:rsidRPr="004E4414">
        <w:rPr>
          <w:lang w:eastAsia="zh-CN"/>
        </w:rPr>
        <w:t xml:space="preserve">different approaches: </w:t>
      </w:r>
    </w:p>
    <w:p w14:paraId="37E93CDB" w14:textId="19649E24" w:rsidR="009B0451" w:rsidRPr="004E4414" w:rsidRDefault="009B0451" w:rsidP="009B0451">
      <w:pPr>
        <w:pStyle w:val="ListParagraph"/>
        <w:numPr>
          <w:ilvl w:val="0"/>
          <w:numId w:val="70"/>
        </w:numPr>
        <w:jc w:val="both"/>
        <w:rPr>
          <w:b/>
          <w:sz w:val="20"/>
          <w:szCs w:val="20"/>
          <w:lang w:val="en-GB"/>
        </w:rPr>
      </w:pPr>
      <w:r w:rsidRPr="004E4414">
        <w:rPr>
          <w:b/>
          <w:sz w:val="20"/>
          <w:szCs w:val="20"/>
          <w:lang w:val="en-GB"/>
        </w:rPr>
        <w:t>IFDM</w:t>
      </w:r>
      <w:r w:rsidR="00FA4A40" w:rsidRPr="004E4414">
        <w:rPr>
          <w:b/>
          <w:sz w:val="20"/>
          <w:szCs w:val="20"/>
          <w:lang w:val="en-GB"/>
        </w:rPr>
        <w:t xml:space="preserve">: </w:t>
      </w:r>
      <w:r w:rsidR="00FA4A40" w:rsidRPr="004E4414">
        <w:rPr>
          <w:sz w:val="20"/>
          <w:szCs w:val="20"/>
          <w:lang w:val="en-GB"/>
        </w:rPr>
        <w:t>PRACH sequence is mapped to every 6</w:t>
      </w:r>
      <w:r w:rsidR="00FA4A40" w:rsidRPr="004E4414">
        <w:rPr>
          <w:sz w:val="20"/>
          <w:szCs w:val="20"/>
          <w:vertAlign w:val="superscript"/>
          <w:lang w:val="en-GB"/>
        </w:rPr>
        <w:t>th</w:t>
      </w:r>
      <w:r w:rsidR="00FA4A40" w:rsidRPr="004E4414">
        <w:rPr>
          <w:sz w:val="20"/>
          <w:szCs w:val="20"/>
          <w:lang w:val="en-GB"/>
        </w:rPr>
        <w:t xml:space="preserve"> subcarrier. This results in 5.5 us zero autocorrelation zone between correlation peaks</w:t>
      </w:r>
      <w:r w:rsidR="009532B5" w:rsidRPr="004E4414">
        <w:rPr>
          <w:sz w:val="20"/>
          <w:szCs w:val="20"/>
          <w:lang w:val="en-GB"/>
        </w:rPr>
        <w:t xml:space="preserve"> as well as extended Zadoff-Chu sequence of length 102.</w:t>
      </w:r>
      <w:r w:rsidR="00FA4A40" w:rsidRPr="004E4414">
        <w:rPr>
          <w:sz w:val="20"/>
          <w:szCs w:val="20"/>
          <w:lang w:val="en-GB"/>
        </w:rPr>
        <w:t xml:space="preserve"> </w:t>
      </w:r>
    </w:p>
    <w:p w14:paraId="4D16B59B" w14:textId="06B4C716" w:rsidR="009B0451" w:rsidRPr="004E4414" w:rsidRDefault="009B0451" w:rsidP="009B0451">
      <w:pPr>
        <w:pStyle w:val="ListParagraph"/>
        <w:numPr>
          <w:ilvl w:val="0"/>
          <w:numId w:val="70"/>
        </w:numPr>
        <w:jc w:val="both"/>
        <w:rPr>
          <w:b/>
          <w:sz w:val="20"/>
          <w:szCs w:val="20"/>
          <w:lang w:val="en-GB"/>
        </w:rPr>
      </w:pPr>
      <w:r w:rsidRPr="004E4414">
        <w:rPr>
          <w:b/>
          <w:sz w:val="20"/>
          <w:szCs w:val="20"/>
          <w:lang w:val="en-GB"/>
        </w:rPr>
        <w:t>B-IFDM</w:t>
      </w:r>
      <w:r w:rsidR="00FA4A40" w:rsidRPr="004E4414">
        <w:rPr>
          <w:b/>
          <w:sz w:val="20"/>
          <w:szCs w:val="20"/>
          <w:lang w:val="en-GB"/>
        </w:rPr>
        <w:t xml:space="preserve"> </w:t>
      </w:r>
      <w:r w:rsidR="00FA4A40" w:rsidRPr="004E4414">
        <w:rPr>
          <w:sz w:val="20"/>
          <w:szCs w:val="20"/>
          <w:lang w:val="en-GB"/>
        </w:rPr>
        <w:t xml:space="preserve">with non-uniform block spacing: Example presented in [8] is considered. In the example design, PRB based B-IFDM design with 5 interlaces is assumed. A preamble is mapped on one interlace + on two additional PRBs from another interlace to create non-uniform </w:t>
      </w:r>
      <w:r w:rsidR="009532B5" w:rsidRPr="004E4414">
        <w:rPr>
          <w:sz w:val="20"/>
          <w:szCs w:val="20"/>
          <w:lang w:val="en-GB"/>
        </w:rPr>
        <w:t>spacing between blocks.</w:t>
      </w:r>
      <w:r w:rsidR="00FA4A40" w:rsidRPr="004E4414">
        <w:rPr>
          <w:b/>
          <w:sz w:val="20"/>
          <w:szCs w:val="20"/>
          <w:lang w:val="en-GB"/>
        </w:rPr>
        <w:t xml:space="preserve"> </w:t>
      </w:r>
    </w:p>
    <w:p w14:paraId="5F47F3BF" w14:textId="50CCCAA9" w:rsidR="009B0451" w:rsidRPr="004E4414" w:rsidRDefault="009B0451" w:rsidP="009B0451">
      <w:pPr>
        <w:pStyle w:val="ListParagraph"/>
        <w:numPr>
          <w:ilvl w:val="0"/>
          <w:numId w:val="70"/>
        </w:numPr>
        <w:jc w:val="both"/>
        <w:rPr>
          <w:b/>
          <w:sz w:val="20"/>
          <w:szCs w:val="20"/>
          <w:lang w:val="en-GB"/>
        </w:rPr>
      </w:pPr>
      <w:r w:rsidRPr="004E4414">
        <w:rPr>
          <w:b/>
          <w:sz w:val="20"/>
          <w:szCs w:val="20"/>
          <w:lang w:val="en-GB"/>
        </w:rPr>
        <w:t>TinB-IFDM</w:t>
      </w:r>
      <w:r w:rsidR="00FA4A40" w:rsidRPr="004E4414">
        <w:rPr>
          <w:b/>
          <w:sz w:val="20"/>
          <w:szCs w:val="20"/>
          <w:lang w:val="en-GB"/>
        </w:rPr>
        <w:t xml:space="preserve">: </w:t>
      </w:r>
      <w:r w:rsidR="009532B5" w:rsidRPr="004E4414">
        <w:rPr>
          <w:sz w:val="20"/>
          <w:szCs w:val="20"/>
          <w:lang w:val="en-GB"/>
        </w:rPr>
        <w:t xml:space="preserve">Example aligned with a design ZC107A in [7] is considered. In the example design, preamble sequence is mapped on 2 consecutive subcarriers on every second PRB. Zadoff-Chu sequence of 53 </w:t>
      </w:r>
      <w:r w:rsidR="000D6E55">
        <w:rPr>
          <w:sz w:val="20"/>
          <w:szCs w:val="20"/>
          <w:lang w:val="en-GB"/>
        </w:rPr>
        <w:t xml:space="preserve">is </w:t>
      </w:r>
      <w:r w:rsidR="009532B5" w:rsidRPr="004E4414">
        <w:rPr>
          <w:sz w:val="20"/>
          <w:szCs w:val="20"/>
          <w:lang w:val="en-GB"/>
        </w:rPr>
        <w:t>punctured to length of 5</w:t>
      </w:r>
      <w:r w:rsidR="000F346E" w:rsidRPr="004E4414">
        <w:rPr>
          <w:sz w:val="20"/>
          <w:szCs w:val="20"/>
          <w:lang w:val="en-GB"/>
        </w:rPr>
        <w:t>0</w:t>
      </w:r>
      <w:r w:rsidR="00A1768C" w:rsidRPr="004E4414">
        <w:rPr>
          <w:sz w:val="20"/>
          <w:szCs w:val="20"/>
          <w:lang w:val="en-GB"/>
        </w:rPr>
        <w:t xml:space="preserve">. </w:t>
      </w:r>
      <w:r w:rsidR="009532B5" w:rsidRPr="004E4414">
        <w:rPr>
          <w:sz w:val="20"/>
          <w:szCs w:val="20"/>
          <w:lang w:val="en-GB"/>
        </w:rPr>
        <w:t xml:space="preserve"> </w:t>
      </w:r>
    </w:p>
    <w:p w14:paraId="12F1E939" w14:textId="37A07D14" w:rsidR="009532B5" w:rsidRPr="00564EAF" w:rsidRDefault="00FA4A40" w:rsidP="00564EAF">
      <w:pPr>
        <w:pStyle w:val="ListParagraph"/>
        <w:numPr>
          <w:ilvl w:val="0"/>
          <w:numId w:val="70"/>
        </w:numPr>
        <w:spacing w:after="120"/>
        <w:ind w:left="714" w:hanging="357"/>
        <w:jc w:val="both"/>
        <w:rPr>
          <w:b/>
          <w:sz w:val="20"/>
          <w:szCs w:val="20"/>
          <w:lang w:val="en-GB"/>
        </w:rPr>
      </w:pPr>
      <w:r w:rsidRPr="004E4414">
        <w:rPr>
          <w:b/>
          <w:sz w:val="20"/>
          <w:szCs w:val="20"/>
          <w:lang w:val="en-GB"/>
        </w:rPr>
        <w:t xml:space="preserve">Frequency continuous: </w:t>
      </w:r>
      <w:r w:rsidRPr="004E4414">
        <w:rPr>
          <w:sz w:val="20"/>
          <w:szCs w:val="20"/>
          <w:lang w:val="en-GB"/>
        </w:rPr>
        <w:t>Rel-15 PRACH with 30 kHz SCS and 4.32 MHz BW is used</w:t>
      </w:r>
      <w:r w:rsidR="009532B5" w:rsidRPr="004E4414">
        <w:rPr>
          <w:sz w:val="20"/>
          <w:szCs w:val="20"/>
          <w:lang w:val="en-GB"/>
        </w:rPr>
        <w:t>. Preamble uses Zadoff-Chu sequence of length 139 and occupies 12 PRBs.</w:t>
      </w:r>
    </w:p>
    <w:p w14:paraId="26C11E6E" w14:textId="5B879620" w:rsidR="00A1768C" w:rsidRPr="004E4414" w:rsidRDefault="004928D9" w:rsidP="004928D9">
      <w:pPr>
        <w:overflowPunct/>
        <w:autoSpaceDE/>
        <w:autoSpaceDN/>
        <w:adjustRightInd/>
        <w:spacing w:after="0"/>
        <w:jc w:val="both"/>
        <w:textAlignment w:val="auto"/>
        <w:rPr>
          <w:lang w:eastAsia="zh-CN"/>
        </w:rPr>
      </w:pPr>
      <w:r w:rsidRPr="004E4414">
        <w:rPr>
          <w:lang w:eastAsia="zh-CN"/>
        </w:rPr>
        <w:t xml:space="preserve">The comparison is summarized in Table </w:t>
      </w:r>
      <w:r w:rsidR="00564EAF">
        <w:rPr>
          <w:lang w:eastAsia="zh-CN"/>
        </w:rPr>
        <w:t>2</w:t>
      </w:r>
      <w:r w:rsidRPr="004E4414">
        <w:rPr>
          <w:lang w:eastAsia="zh-CN"/>
        </w:rPr>
        <w:t>.</w:t>
      </w:r>
      <w:r w:rsidR="00A1768C" w:rsidRPr="004E4414">
        <w:rPr>
          <w:lang w:eastAsia="zh-CN"/>
        </w:rPr>
        <w:t xml:space="preserve"> In the table,</w:t>
      </w:r>
    </w:p>
    <w:p w14:paraId="0D0AEDB1" w14:textId="6059412D" w:rsidR="00A1768C" w:rsidRPr="004E4414" w:rsidRDefault="00A1768C" w:rsidP="004928D9">
      <w:pPr>
        <w:pStyle w:val="ListParagraph"/>
        <w:numPr>
          <w:ilvl w:val="0"/>
          <w:numId w:val="70"/>
        </w:numPr>
        <w:jc w:val="both"/>
        <w:rPr>
          <w:b/>
          <w:sz w:val="20"/>
          <w:szCs w:val="20"/>
          <w:lang w:val="en-GB"/>
        </w:rPr>
      </w:pPr>
      <w:r w:rsidRPr="004E4414">
        <w:rPr>
          <w:b/>
          <w:sz w:val="20"/>
          <w:szCs w:val="20"/>
          <w:lang w:val="en-GB"/>
        </w:rPr>
        <w:t xml:space="preserve">PRACH capacity: </w:t>
      </w:r>
      <w:r w:rsidRPr="004E4414">
        <w:rPr>
          <w:sz w:val="20"/>
          <w:szCs w:val="20"/>
          <w:lang w:val="en-GB"/>
        </w:rPr>
        <w:t xml:space="preserve">With this, we mean the number of different preambles that can be created by root sequences, cyclic shifts or FDM. With 64 preambles per PRACH, we give </w:t>
      </w:r>
      <w:r w:rsidR="00FF0CD0" w:rsidRPr="004E4414">
        <w:rPr>
          <w:sz w:val="20"/>
          <w:szCs w:val="20"/>
          <w:lang w:val="en-GB"/>
        </w:rPr>
        <w:t xml:space="preserve">in the brackets </w:t>
      </w:r>
      <w:r w:rsidRPr="004E4414">
        <w:rPr>
          <w:sz w:val="20"/>
          <w:szCs w:val="20"/>
          <w:lang w:val="en-GB"/>
        </w:rPr>
        <w:t xml:space="preserve">also the number of </w:t>
      </w:r>
      <w:r w:rsidR="00FF0CD0" w:rsidRPr="004E4414">
        <w:rPr>
          <w:sz w:val="20"/>
          <w:szCs w:val="20"/>
          <w:lang w:val="en-GB"/>
        </w:rPr>
        <w:t>cells that can be supported by the number of available preambles.</w:t>
      </w:r>
    </w:p>
    <w:p w14:paraId="206F400A" w14:textId="659868F2" w:rsidR="00A1768C" w:rsidRPr="004E4414" w:rsidRDefault="00A1768C" w:rsidP="00AA7BF3">
      <w:pPr>
        <w:pStyle w:val="ListParagraph"/>
        <w:numPr>
          <w:ilvl w:val="1"/>
          <w:numId w:val="70"/>
        </w:numPr>
        <w:jc w:val="both"/>
        <w:rPr>
          <w:sz w:val="20"/>
          <w:szCs w:val="20"/>
          <w:lang w:val="en-GB"/>
        </w:rPr>
      </w:pPr>
      <w:r w:rsidRPr="004E4414">
        <w:rPr>
          <w:b/>
          <w:sz w:val="20"/>
          <w:szCs w:val="20"/>
          <w:lang w:val="en-GB"/>
        </w:rPr>
        <w:t>Cyclic shifts and supported cell ran</w:t>
      </w:r>
      <w:r w:rsidR="00FF0CD0" w:rsidRPr="004E4414">
        <w:rPr>
          <w:b/>
          <w:sz w:val="20"/>
          <w:szCs w:val="20"/>
          <w:lang w:val="en-GB"/>
        </w:rPr>
        <w:t xml:space="preserve">ge: </w:t>
      </w:r>
      <w:r w:rsidR="00FF0CD0" w:rsidRPr="004E4414">
        <w:rPr>
          <w:sz w:val="20"/>
          <w:szCs w:val="20"/>
          <w:lang w:val="en-GB"/>
        </w:rPr>
        <w:t xml:space="preserve">We assume 1.64 us timing uncertainty corresponding to 115 m cell range and 0.87 us channel delay spread (similarly to [7]). IFDM can support multiplexing of 3 preambles by cyclic shifts. Frequency continuous design can support multiplexing of </w:t>
      </w:r>
      <w:r w:rsidR="00CB3CFC" w:rsidRPr="004E4414">
        <w:rPr>
          <w:sz w:val="20"/>
          <w:szCs w:val="20"/>
          <w:lang w:val="en-GB"/>
        </w:rPr>
        <w:t>16</w:t>
      </w:r>
      <w:r w:rsidR="00FF0CD0" w:rsidRPr="004E4414">
        <w:rPr>
          <w:sz w:val="20"/>
          <w:szCs w:val="20"/>
          <w:lang w:val="en-GB"/>
        </w:rPr>
        <w:t xml:space="preserve"> preambles by cyclic shifts, with</w:t>
      </w:r>
      <w:r w:rsidR="00CB3CFC" w:rsidRPr="004E4414">
        <w:rPr>
          <w:sz w:val="20"/>
          <w:szCs w:val="20"/>
          <w:lang w:val="en-GB"/>
        </w:rPr>
        <w:t xml:space="preserve"> 1.92</w:t>
      </w:r>
      <w:r w:rsidR="00FF0CD0" w:rsidRPr="004E4414">
        <w:rPr>
          <w:sz w:val="20"/>
          <w:szCs w:val="20"/>
          <w:lang w:val="en-GB"/>
        </w:rPr>
        <w:t xml:space="preserve"> us zero autocorrelation zone for each preamble.</w:t>
      </w:r>
      <w:r w:rsidR="00AA7BF3" w:rsidRPr="004E4414">
        <w:rPr>
          <w:sz w:val="20"/>
          <w:szCs w:val="20"/>
          <w:lang w:val="en-GB"/>
        </w:rPr>
        <w:t xml:space="preserve"> </w:t>
      </w:r>
    </w:p>
    <w:p w14:paraId="04A47272" w14:textId="739718DD" w:rsidR="00A5266E" w:rsidRPr="004E4414" w:rsidRDefault="00A5266E" w:rsidP="00AA7BF3">
      <w:pPr>
        <w:pStyle w:val="ListParagraph"/>
        <w:numPr>
          <w:ilvl w:val="1"/>
          <w:numId w:val="70"/>
        </w:numPr>
        <w:jc w:val="both"/>
        <w:rPr>
          <w:sz w:val="20"/>
          <w:szCs w:val="20"/>
          <w:lang w:val="en-GB"/>
        </w:rPr>
      </w:pPr>
      <w:r w:rsidRPr="004E4414">
        <w:rPr>
          <w:b/>
          <w:sz w:val="20"/>
          <w:szCs w:val="20"/>
          <w:lang w:val="en-GB"/>
        </w:rPr>
        <w:t>FDM:</w:t>
      </w:r>
      <w:r w:rsidRPr="004E4414">
        <w:rPr>
          <w:sz w:val="20"/>
          <w:szCs w:val="20"/>
          <w:lang w:val="en-GB"/>
        </w:rPr>
        <w:t xml:space="preserve"> With this, we mean the number of non-overlapping frequency domain allocations for PRACH that are not overlapping within a 20 MHz BWP. For example, 12 PRB continuous PRACH can be allocated to 4 non-overlapping positions within 51 PRB BWP.</w:t>
      </w:r>
    </w:p>
    <w:p w14:paraId="4E64E2AD" w14:textId="68D837C1" w:rsidR="00A1768C" w:rsidRPr="004E4414" w:rsidRDefault="00A1768C" w:rsidP="000F346E">
      <w:pPr>
        <w:pStyle w:val="ListParagraph"/>
        <w:numPr>
          <w:ilvl w:val="0"/>
          <w:numId w:val="70"/>
        </w:numPr>
        <w:jc w:val="both"/>
        <w:rPr>
          <w:sz w:val="20"/>
          <w:szCs w:val="20"/>
          <w:lang w:val="en-GB"/>
        </w:rPr>
      </w:pPr>
      <w:r w:rsidRPr="004E4414">
        <w:rPr>
          <w:b/>
          <w:sz w:val="20"/>
          <w:szCs w:val="20"/>
          <w:lang w:val="en-GB"/>
        </w:rPr>
        <w:t>Overhead:</w:t>
      </w:r>
      <w:r w:rsidR="00CB79DA" w:rsidRPr="004E4414">
        <w:rPr>
          <w:b/>
          <w:sz w:val="20"/>
          <w:szCs w:val="20"/>
          <w:lang w:val="en-GB"/>
        </w:rPr>
        <w:t xml:space="preserve"> </w:t>
      </w:r>
      <w:r w:rsidR="000F346E" w:rsidRPr="004E4414">
        <w:rPr>
          <w:sz w:val="20"/>
          <w:szCs w:val="20"/>
          <w:lang w:val="en-GB"/>
        </w:rPr>
        <w:t>This</w:t>
      </w:r>
      <w:r w:rsidR="00CB79DA" w:rsidRPr="004E4414">
        <w:rPr>
          <w:sz w:val="20"/>
          <w:szCs w:val="20"/>
          <w:lang w:val="en-GB"/>
        </w:rPr>
        <w:t xml:space="preserve"> mean</w:t>
      </w:r>
      <w:r w:rsidR="000F346E" w:rsidRPr="004E4414">
        <w:rPr>
          <w:sz w:val="20"/>
          <w:szCs w:val="20"/>
          <w:lang w:val="en-GB"/>
        </w:rPr>
        <w:t>s</w:t>
      </w:r>
      <w:r w:rsidR="00CB79DA" w:rsidRPr="004E4414">
        <w:rPr>
          <w:sz w:val="20"/>
          <w:szCs w:val="20"/>
          <w:lang w:val="en-GB"/>
        </w:rPr>
        <w:t xml:space="preserve"> the number of PRBs (or corresponding amount of REs) that a single PRACH supporting </w:t>
      </w:r>
      <w:r w:rsidR="00717EBE" w:rsidRPr="004E4414">
        <w:rPr>
          <w:sz w:val="20"/>
          <w:szCs w:val="20"/>
          <w:lang w:val="en-GB"/>
        </w:rPr>
        <w:t>64 preambles requires</w:t>
      </w:r>
      <w:r w:rsidR="00A5266E" w:rsidRPr="004E4414">
        <w:rPr>
          <w:sz w:val="20"/>
          <w:szCs w:val="20"/>
          <w:lang w:val="en-GB"/>
        </w:rPr>
        <w:t>. For IFDM</w:t>
      </w:r>
      <w:r w:rsidR="007671DF" w:rsidRPr="004E4414">
        <w:rPr>
          <w:sz w:val="20"/>
          <w:szCs w:val="20"/>
          <w:lang w:val="en-GB"/>
        </w:rPr>
        <w:t xml:space="preserve">, we assume that 2 IFDM combs, </w:t>
      </w:r>
      <w:r w:rsidR="00A5266E" w:rsidRPr="004E4414">
        <w:rPr>
          <w:sz w:val="20"/>
          <w:szCs w:val="20"/>
          <w:lang w:val="en-GB"/>
        </w:rPr>
        <w:t>3 cyclic shifts</w:t>
      </w:r>
      <w:r w:rsidR="007671DF" w:rsidRPr="004E4414">
        <w:rPr>
          <w:sz w:val="20"/>
          <w:szCs w:val="20"/>
          <w:lang w:val="en-GB"/>
        </w:rPr>
        <w:t xml:space="preserve"> and 11 root sequences</w:t>
      </w:r>
      <w:r w:rsidR="00A5266E" w:rsidRPr="004E4414">
        <w:rPr>
          <w:sz w:val="20"/>
          <w:szCs w:val="20"/>
          <w:lang w:val="en-GB"/>
        </w:rPr>
        <w:t xml:space="preserve"> are used per cell. </w:t>
      </w:r>
      <w:r w:rsidR="007671DF" w:rsidRPr="004E4414">
        <w:rPr>
          <w:sz w:val="20"/>
          <w:szCs w:val="20"/>
          <w:lang w:val="en-GB"/>
        </w:rPr>
        <w:t xml:space="preserve">For B-IFDM, it is assumed that PRACH uses 2 interlaces (of 12 PRBs) and 32 root sequences per cell. </w:t>
      </w:r>
      <w:r w:rsidR="000F346E" w:rsidRPr="004E4414">
        <w:rPr>
          <w:sz w:val="20"/>
          <w:szCs w:val="20"/>
          <w:lang w:val="en-GB"/>
        </w:rPr>
        <w:t xml:space="preserve"> TinB-IFDM PRACH is assumed to use every 2</w:t>
      </w:r>
      <w:r w:rsidR="000F346E" w:rsidRPr="004E4414">
        <w:rPr>
          <w:sz w:val="20"/>
          <w:szCs w:val="20"/>
          <w:vertAlign w:val="superscript"/>
          <w:lang w:val="en-GB"/>
        </w:rPr>
        <w:t>nd</w:t>
      </w:r>
      <w:r w:rsidR="000F346E" w:rsidRPr="004E4414">
        <w:rPr>
          <w:sz w:val="20"/>
          <w:szCs w:val="20"/>
          <w:lang w:val="en-GB"/>
        </w:rPr>
        <w:t xml:space="preserve"> PRB.  </w:t>
      </w:r>
    </w:p>
    <w:p w14:paraId="3B8D8E9D" w14:textId="0ABA4B50" w:rsidR="00A1768C" w:rsidRPr="004E4414" w:rsidRDefault="00A1768C" w:rsidP="004928D9">
      <w:pPr>
        <w:pStyle w:val="ListParagraph"/>
        <w:numPr>
          <w:ilvl w:val="0"/>
          <w:numId w:val="70"/>
        </w:numPr>
        <w:jc w:val="both"/>
        <w:rPr>
          <w:sz w:val="20"/>
          <w:szCs w:val="20"/>
          <w:lang w:val="en-GB"/>
        </w:rPr>
      </w:pPr>
      <w:r w:rsidRPr="004E4414">
        <w:rPr>
          <w:b/>
          <w:sz w:val="20"/>
          <w:szCs w:val="20"/>
          <w:lang w:val="en-GB"/>
        </w:rPr>
        <w:t>Max Tx power</w:t>
      </w:r>
      <w:r w:rsidR="000F346E" w:rsidRPr="004E4414">
        <w:rPr>
          <w:b/>
          <w:sz w:val="20"/>
          <w:szCs w:val="20"/>
          <w:lang w:val="en-GB"/>
        </w:rPr>
        <w:t xml:space="preserve"> </w:t>
      </w:r>
      <w:r w:rsidR="000F346E" w:rsidRPr="004E4414">
        <w:rPr>
          <w:sz w:val="20"/>
          <w:szCs w:val="20"/>
          <w:lang w:val="en-GB"/>
        </w:rPr>
        <w:t>is calculated based on PSD limit of 11 dBm/MHz</w:t>
      </w:r>
    </w:p>
    <w:p w14:paraId="133B5EEF" w14:textId="2137B769" w:rsidR="00993CD5" w:rsidRPr="004E4414" w:rsidRDefault="00A1768C" w:rsidP="00564EAF">
      <w:pPr>
        <w:pStyle w:val="ListParagraph"/>
        <w:numPr>
          <w:ilvl w:val="0"/>
          <w:numId w:val="70"/>
        </w:numPr>
        <w:spacing w:after="120"/>
        <w:ind w:left="714" w:hanging="357"/>
        <w:jc w:val="both"/>
        <w:rPr>
          <w:b/>
          <w:sz w:val="20"/>
          <w:szCs w:val="20"/>
          <w:lang w:val="en-GB"/>
        </w:rPr>
      </w:pPr>
      <w:r w:rsidRPr="004E4414">
        <w:rPr>
          <w:b/>
          <w:sz w:val="20"/>
          <w:szCs w:val="20"/>
          <w:lang w:val="en-GB"/>
        </w:rPr>
        <w:t>Multiplexing</w:t>
      </w:r>
      <w:r w:rsidR="000F346E" w:rsidRPr="004E4414">
        <w:rPr>
          <w:b/>
          <w:sz w:val="20"/>
          <w:szCs w:val="20"/>
          <w:lang w:val="en-GB"/>
        </w:rPr>
        <w:t xml:space="preserve">: </w:t>
      </w:r>
      <w:r w:rsidR="000F346E" w:rsidRPr="004E4414">
        <w:rPr>
          <w:sz w:val="20"/>
          <w:szCs w:val="20"/>
          <w:lang w:val="en-GB"/>
        </w:rPr>
        <w:t xml:space="preserve">A PRB-based interlace design with 5 interlaces and 10 blocks per interlace </w:t>
      </w:r>
      <w:r w:rsidR="001F2430" w:rsidRPr="004E4414">
        <w:rPr>
          <w:sz w:val="20"/>
          <w:szCs w:val="20"/>
          <w:lang w:val="en-GB"/>
        </w:rPr>
        <w:t xml:space="preserve">is assumed for B-IFDM PUSCH. </w:t>
      </w:r>
    </w:p>
    <w:p w14:paraId="131DB80D" w14:textId="7B973691" w:rsidR="004928D9" w:rsidRDefault="004928D9" w:rsidP="004928D9">
      <w:pPr>
        <w:pStyle w:val="Caption"/>
        <w:jc w:val="center"/>
        <w:rPr>
          <w:lang w:eastAsia="zh-CN"/>
        </w:rPr>
      </w:pPr>
      <w:r>
        <w:t xml:space="preserve">Table </w:t>
      </w:r>
      <w:r w:rsidR="00564EAF">
        <w:t>2</w:t>
      </w:r>
      <w:r>
        <w:t xml:space="preserve">. </w:t>
      </w:r>
      <w:r w:rsidRPr="00B07334">
        <w:rPr>
          <w:bCs/>
          <w:lang w:eastAsia="zh-CN"/>
        </w:rPr>
        <w:t xml:space="preserve">Comparison of </w:t>
      </w:r>
      <w:r>
        <w:rPr>
          <w:bCs/>
          <w:lang w:eastAsia="zh-CN"/>
        </w:rPr>
        <w:t xml:space="preserve">NR-U PRACH approaches for </w:t>
      </w:r>
      <w:r w:rsidRPr="00B07334">
        <w:rPr>
          <w:bCs/>
          <w:lang w:eastAsia="zh-CN"/>
        </w:rPr>
        <w:t>30 kHz</w:t>
      </w:r>
      <w:r>
        <w:rPr>
          <w:bCs/>
          <w:lang w:eastAsia="zh-CN"/>
        </w:rPr>
        <w:t xml:space="preserve"> SCS</w:t>
      </w:r>
    </w:p>
    <w:tbl>
      <w:tblPr>
        <w:tblStyle w:val="TableGrid"/>
        <w:tblW w:w="9776" w:type="dxa"/>
        <w:tblLook w:val="0420" w:firstRow="1" w:lastRow="0" w:firstColumn="0" w:lastColumn="0" w:noHBand="0" w:noVBand="1"/>
      </w:tblPr>
      <w:tblGrid>
        <w:gridCol w:w="277"/>
        <w:gridCol w:w="1703"/>
        <w:gridCol w:w="1949"/>
        <w:gridCol w:w="1949"/>
        <w:gridCol w:w="1949"/>
        <w:gridCol w:w="1949"/>
      </w:tblGrid>
      <w:tr w:rsidR="004928D9" w:rsidRPr="00B07334" w14:paraId="21AF2ABC" w14:textId="77777777" w:rsidTr="007B6C8F">
        <w:trPr>
          <w:trHeight w:val="584"/>
        </w:trPr>
        <w:tc>
          <w:tcPr>
            <w:tcW w:w="1980" w:type="dxa"/>
            <w:gridSpan w:val="2"/>
            <w:shd w:val="clear" w:color="auto" w:fill="BFBFBF" w:themeFill="background1" w:themeFillShade="BF"/>
            <w:tcMar>
              <w:left w:w="57" w:type="dxa"/>
              <w:right w:w="57" w:type="dxa"/>
            </w:tcMar>
            <w:hideMark/>
          </w:tcPr>
          <w:p w14:paraId="7B545575" w14:textId="23D699DC" w:rsidR="004928D9" w:rsidRPr="00B07334" w:rsidRDefault="004928D9" w:rsidP="004928D9">
            <w:pPr>
              <w:overflowPunct/>
              <w:autoSpaceDE/>
              <w:autoSpaceDN/>
              <w:adjustRightInd/>
              <w:spacing w:after="0"/>
              <w:textAlignment w:val="auto"/>
              <w:rPr>
                <w:lang w:eastAsia="zh-CN"/>
              </w:rPr>
            </w:pPr>
          </w:p>
        </w:tc>
        <w:tc>
          <w:tcPr>
            <w:tcW w:w="1949" w:type="dxa"/>
            <w:shd w:val="clear" w:color="auto" w:fill="BFBFBF" w:themeFill="background1" w:themeFillShade="BF"/>
            <w:tcMar>
              <w:left w:w="57" w:type="dxa"/>
              <w:right w:w="57" w:type="dxa"/>
            </w:tcMar>
            <w:vAlign w:val="center"/>
          </w:tcPr>
          <w:p w14:paraId="0A6E6FC7" w14:textId="06D31880" w:rsidR="004928D9" w:rsidRPr="00B07334" w:rsidRDefault="004928D9" w:rsidP="000B7B9A">
            <w:pPr>
              <w:overflowPunct/>
              <w:autoSpaceDE/>
              <w:autoSpaceDN/>
              <w:adjustRightInd/>
              <w:spacing w:after="0"/>
              <w:jc w:val="center"/>
              <w:textAlignment w:val="auto"/>
              <w:rPr>
                <w:b/>
                <w:bCs/>
                <w:lang w:val="en-US" w:eastAsia="zh-CN"/>
              </w:rPr>
            </w:pPr>
            <w:r>
              <w:rPr>
                <w:b/>
                <w:bCs/>
                <w:lang w:val="en-US" w:eastAsia="zh-CN"/>
              </w:rPr>
              <w:t>IFDM</w:t>
            </w:r>
          </w:p>
        </w:tc>
        <w:tc>
          <w:tcPr>
            <w:tcW w:w="1949" w:type="dxa"/>
            <w:shd w:val="clear" w:color="auto" w:fill="BFBFBF" w:themeFill="background1" w:themeFillShade="BF"/>
            <w:tcMar>
              <w:left w:w="57" w:type="dxa"/>
              <w:right w:w="57" w:type="dxa"/>
            </w:tcMar>
            <w:vAlign w:val="center"/>
            <w:hideMark/>
          </w:tcPr>
          <w:p w14:paraId="6D5F6941" w14:textId="4698984C" w:rsidR="004928D9" w:rsidRPr="00B07334" w:rsidRDefault="004928D9" w:rsidP="000B7B9A">
            <w:pPr>
              <w:overflowPunct/>
              <w:autoSpaceDE/>
              <w:autoSpaceDN/>
              <w:adjustRightInd/>
              <w:spacing w:after="0"/>
              <w:jc w:val="center"/>
              <w:textAlignment w:val="auto"/>
              <w:rPr>
                <w:lang w:eastAsia="zh-CN"/>
              </w:rPr>
            </w:pPr>
            <w:r w:rsidRPr="00B07334">
              <w:rPr>
                <w:b/>
                <w:bCs/>
                <w:lang w:val="en-US" w:eastAsia="zh-CN"/>
              </w:rPr>
              <w:t>B-IFDM + non-unif</w:t>
            </w:r>
            <w:r w:rsidR="009532B5">
              <w:rPr>
                <w:b/>
                <w:bCs/>
                <w:lang w:val="en-US" w:eastAsia="zh-CN"/>
              </w:rPr>
              <w:t>orm block</w:t>
            </w:r>
            <w:r w:rsidRPr="00B07334">
              <w:rPr>
                <w:b/>
                <w:bCs/>
                <w:lang w:val="en-US" w:eastAsia="zh-CN"/>
              </w:rPr>
              <w:t xml:space="preserve"> spacing</w:t>
            </w:r>
          </w:p>
        </w:tc>
        <w:tc>
          <w:tcPr>
            <w:tcW w:w="1949" w:type="dxa"/>
            <w:shd w:val="clear" w:color="auto" w:fill="BFBFBF" w:themeFill="background1" w:themeFillShade="BF"/>
            <w:tcMar>
              <w:left w:w="57" w:type="dxa"/>
              <w:right w:w="57" w:type="dxa"/>
            </w:tcMar>
            <w:vAlign w:val="center"/>
            <w:hideMark/>
          </w:tcPr>
          <w:p w14:paraId="78309196" w14:textId="37AC437D" w:rsidR="004928D9" w:rsidRPr="00B07334" w:rsidRDefault="004928D9" w:rsidP="000B7B9A">
            <w:pPr>
              <w:overflowPunct/>
              <w:autoSpaceDE/>
              <w:autoSpaceDN/>
              <w:adjustRightInd/>
              <w:spacing w:after="0"/>
              <w:jc w:val="center"/>
              <w:textAlignment w:val="auto"/>
              <w:rPr>
                <w:lang w:val="fi-FI" w:eastAsia="zh-CN"/>
              </w:rPr>
            </w:pPr>
            <w:r w:rsidRPr="00B07334">
              <w:rPr>
                <w:b/>
                <w:bCs/>
                <w:lang w:val="en-US" w:eastAsia="zh-CN"/>
              </w:rPr>
              <w:t>TinB-IFDM</w:t>
            </w:r>
          </w:p>
        </w:tc>
        <w:tc>
          <w:tcPr>
            <w:tcW w:w="1949" w:type="dxa"/>
            <w:shd w:val="clear" w:color="auto" w:fill="BFBFBF" w:themeFill="background1" w:themeFillShade="BF"/>
            <w:tcMar>
              <w:left w:w="57" w:type="dxa"/>
              <w:right w:w="57" w:type="dxa"/>
            </w:tcMar>
            <w:vAlign w:val="center"/>
            <w:hideMark/>
          </w:tcPr>
          <w:p w14:paraId="7A4E1CAE" w14:textId="1F8EC2CC" w:rsidR="004928D9" w:rsidRPr="00B07334" w:rsidRDefault="004928D9" w:rsidP="000B7B9A">
            <w:pPr>
              <w:overflowPunct/>
              <w:autoSpaceDE/>
              <w:autoSpaceDN/>
              <w:adjustRightInd/>
              <w:spacing w:after="0"/>
              <w:jc w:val="center"/>
              <w:textAlignment w:val="auto"/>
              <w:rPr>
                <w:lang w:val="fi-FI" w:eastAsia="zh-CN"/>
              </w:rPr>
            </w:pPr>
            <w:r>
              <w:rPr>
                <w:b/>
                <w:bCs/>
                <w:lang w:val="en-US" w:eastAsia="zh-CN"/>
              </w:rPr>
              <w:t>Frequency continuous</w:t>
            </w:r>
          </w:p>
        </w:tc>
      </w:tr>
      <w:tr w:rsidR="006C0823" w:rsidRPr="00B07334" w14:paraId="598F71DF" w14:textId="77777777" w:rsidTr="00F72AAE">
        <w:trPr>
          <w:trHeight w:val="408"/>
        </w:trPr>
        <w:tc>
          <w:tcPr>
            <w:tcW w:w="1980" w:type="dxa"/>
            <w:gridSpan w:val="2"/>
            <w:shd w:val="clear" w:color="auto" w:fill="D9D9D9" w:themeFill="background1" w:themeFillShade="D9"/>
            <w:tcMar>
              <w:left w:w="57" w:type="dxa"/>
              <w:right w:w="57" w:type="dxa"/>
            </w:tcMar>
            <w:vAlign w:val="center"/>
            <w:hideMark/>
          </w:tcPr>
          <w:p w14:paraId="58073AF3" w14:textId="56326939" w:rsidR="004928D9" w:rsidRPr="005C4828" w:rsidRDefault="000B7B9A" w:rsidP="000B7B9A">
            <w:pPr>
              <w:overflowPunct/>
              <w:autoSpaceDE/>
              <w:autoSpaceDN/>
              <w:adjustRightInd/>
              <w:spacing w:after="0"/>
              <w:textAlignment w:val="auto"/>
              <w:rPr>
                <w:b/>
                <w:lang w:eastAsia="zh-CN"/>
              </w:rPr>
            </w:pPr>
            <w:r>
              <w:rPr>
                <w:b/>
                <w:lang w:eastAsia="zh-CN"/>
              </w:rPr>
              <w:t xml:space="preserve"> </w:t>
            </w:r>
            <w:r w:rsidR="004928D9" w:rsidRPr="005C4828">
              <w:rPr>
                <w:b/>
                <w:lang w:eastAsia="zh-CN"/>
              </w:rPr>
              <w:t xml:space="preserve">PRACH capacity </w:t>
            </w:r>
          </w:p>
        </w:tc>
        <w:tc>
          <w:tcPr>
            <w:tcW w:w="1949" w:type="dxa"/>
            <w:shd w:val="clear" w:color="auto" w:fill="FFC000"/>
            <w:tcMar>
              <w:left w:w="57" w:type="dxa"/>
              <w:right w:w="57" w:type="dxa"/>
            </w:tcMar>
            <w:vAlign w:val="center"/>
          </w:tcPr>
          <w:p w14:paraId="5E0FDEA7" w14:textId="45E1B460" w:rsidR="004928D9" w:rsidRPr="00F72AAE" w:rsidRDefault="00A5266E" w:rsidP="000B7B9A">
            <w:pPr>
              <w:overflowPunct/>
              <w:autoSpaceDE/>
              <w:autoSpaceDN/>
              <w:adjustRightInd/>
              <w:spacing w:after="0"/>
              <w:jc w:val="center"/>
              <w:textAlignment w:val="auto"/>
              <w:rPr>
                <w:color w:val="FFFFFF" w:themeColor="background1"/>
                <w:lang w:eastAsia="zh-CN"/>
              </w:rPr>
            </w:pPr>
            <w:r>
              <w:rPr>
                <w:lang w:val="fi-FI" w:eastAsia="zh-CN"/>
              </w:rPr>
              <w:t>1800 (27</w:t>
            </w:r>
            <w:r w:rsidR="004928D9" w:rsidRPr="00F72AAE">
              <w:rPr>
                <w:lang w:val="fi-FI" w:eastAsia="zh-CN"/>
              </w:rPr>
              <w:t xml:space="preserve"> cells)</w:t>
            </w:r>
          </w:p>
        </w:tc>
        <w:tc>
          <w:tcPr>
            <w:tcW w:w="1949" w:type="dxa"/>
            <w:shd w:val="clear" w:color="auto" w:fill="CC0000"/>
            <w:tcMar>
              <w:left w:w="57" w:type="dxa"/>
              <w:right w:w="57" w:type="dxa"/>
            </w:tcMar>
            <w:vAlign w:val="center"/>
            <w:hideMark/>
          </w:tcPr>
          <w:p w14:paraId="286D4F26" w14:textId="2363166F" w:rsidR="004928D9" w:rsidRPr="007B6C8F" w:rsidRDefault="00F72AAE" w:rsidP="000B7B9A">
            <w:pPr>
              <w:overflowPunct/>
              <w:autoSpaceDE/>
              <w:autoSpaceDN/>
              <w:adjustRightInd/>
              <w:spacing w:after="0"/>
              <w:jc w:val="center"/>
              <w:textAlignment w:val="auto"/>
              <w:rPr>
                <w:b/>
                <w:color w:val="FFFFFF" w:themeColor="background1"/>
                <w:lang w:val="fi-FI" w:eastAsia="zh-CN"/>
              </w:rPr>
            </w:pPr>
            <w:r>
              <w:rPr>
                <w:b/>
                <w:color w:val="FFFFFF" w:themeColor="background1"/>
                <w:lang w:val="fi-FI" w:eastAsia="zh-CN"/>
              </w:rPr>
              <w:t>552 (8</w:t>
            </w:r>
            <w:r w:rsidR="004928D9" w:rsidRPr="007B6C8F">
              <w:rPr>
                <w:b/>
                <w:color w:val="FFFFFF" w:themeColor="background1"/>
                <w:lang w:val="fi-FI" w:eastAsia="zh-CN"/>
              </w:rPr>
              <w:t xml:space="preserve"> cells)</w:t>
            </w:r>
          </w:p>
        </w:tc>
        <w:tc>
          <w:tcPr>
            <w:tcW w:w="1949" w:type="dxa"/>
            <w:shd w:val="clear" w:color="auto" w:fill="CC0000"/>
            <w:tcMar>
              <w:left w:w="57" w:type="dxa"/>
              <w:right w:w="57" w:type="dxa"/>
            </w:tcMar>
            <w:vAlign w:val="center"/>
            <w:hideMark/>
          </w:tcPr>
          <w:p w14:paraId="130ED89A" w14:textId="3ECCE6E0" w:rsidR="004928D9" w:rsidRPr="007B6C8F" w:rsidRDefault="00F72AAE" w:rsidP="000B7B9A">
            <w:pPr>
              <w:overflowPunct/>
              <w:autoSpaceDE/>
              <w:autoSpaceDN/>
              <w:adjustRightInd/>
              <w:spacing w:after="0"/>
              <w:jc w:val="center"/>
              <w:textAlignment w:val="auto"/>
              <w:rPr>
                <w:b/>
                <w:color w:val="FFFFFF" w:themeColor="background1"/>
                <w:lang w:val="fi-FI" w:eastAsia="zh-CN"/>
              </w:rPr>
            </w:pPr>
            <w:r>
              <w:rPr>
                <w:b/>
                <w:color w:val="FFFFFF" w:themeColor="background1"/>
                <w:lang w:val="fi-FI" w:eastAsia="zh-CN"/>
              </w:rPr>
              <w:t>624</w:t>
            </w:r>
            <w:r w:rsidR="002457B3">
              <w:rPr>
                <w:b/>
                <w:color w:val="FFFFFF" w:themeColor="background1"/>
                <w:lang w:val="fi-FI" w:eastAsia="zh-CN"/>
              </w:rPr>
              <w:t xml:space="preserve"> (9</w:t>
            </w:r>
            <w:r w:rsidR="004928D9" w:rsidRPr="007B6C8F">
              <w:rPr>
                <w:b/>
                <w:color w:val="FFFFFF" w:themeColor="background1"/>
                <w:lang w:val="fi-FI" w:eastAsia="zh-CN"/>
              </w:rPr>
              <w:t xml:space="preserve"> cells)</w:t>
            </w:r>
          </w:p>
        </w:tc>
        <w:tc>
          <w:tcPr>
            <w:tcW w:w="1949" w:type="dxa"/>
            <w:shd w:val="clear" w:color="auto" w:fill="92D050"/>
            <w:tcMar>
              <w:left w:w="57" w:type="dxa"/>
              <w:right w:w="57" w:type="dxa"/>
            </w:tcMar>
            <w:vAlign w:val="center"/>
            <w:hideMark/>
          </w:tcPr>
          <w:p w14:paraId="3B983754" w14:textId="53588E62" w:rsidR="004928D9" w:rsidRPr="00B07334" w:rsidRDefault="00074BE9" w:rsidP="000B7B9A">
            <w:pPr>
              <w:overflowPunct/>
              <w:autoSpaceDE/>
              <w:autoSpaceDN/>
              <w:adjustRightInd/>
              <w:spacing w:after="0"/>
              <w:jc w:val="center"/>
              <w:textAlignment w:val="auto"/>
              <w:rPr>
                <w:lang w:val="fi-FI" w:eastAsia="zh-CN"/>
              </w:rPr>
            </w:pPr>
            <w:r>
              <w:rPr>
                <w:lang w:val="fi-FI" w:eastAsia="zh-CN"/>
              </w:rPr>
              <w:t>9384 (138</w:t>
            </w:r>
            <w:r w:rsidR="004928D9" w:rsidRPr="00B07334">
              <w:rPr>
                <w:lang w:val="fi-FI" w:eastAsia="zh-CN"/>
              </w:rPr>
              <w:t xml:space="preserve"> cells)</w:t>
            </w:r>
          </w:p>
        </w:tc>
      </w:tr>
      <w:tr w:rsidR="000B7B9A" w:rsidRPr="00B07334" w14:paraId="3960A165" w14:textId="77777777" w:rsidTr="009B0451">
        <w:trPr>
          <w:trHeight w:val="408"/>
        </w:trPr>
        <w:tc>
          <w:tcPr>
            <w:tcW w:w="277" w:type="dxa"/>
            <w:tcBorders>
              <w:right w:val="single" w:sz="4" w:space="0" w:color="D9D9D9" w:themeColor="background1" w:themeShade="D9"/>
            </w:tcBorders>
            <w:shd w:val="clear" w:color="auto" w:fill="D9D9D9" w:themeFill="background1" w:themeFillShade="D9"/>
            <w:tcMar>
              <w:left w:w="57" w:type="dxa"/>
              <w:right w:w="57" w:type="dxa"/>
            </w:tcMar>
            <w:vAlign w:val="center"/>
            <w:hideMark/>
          </w:tcPr>
          <w:p w14:paraId="6F10687A" w14:textId="77777777" w:rsidR="004928D9" w:rsidRPr="005C4828" w:rsidRDefault="004928D9" w:rsidP="000B7B9A">
            <w:pPr>
              <w:overflowPunct/>
              <w:autoSpaceDE/>
              <w:autoSpaceDN/>
              <w:adjustRightInd/>
              <w:spacing w:after="0"/>
              <w:textAlignment w:val="auto"/>
              <w:rPr>
                <w:b/>
                <w:lang w:val="fi-FI" w:eastAsia="zh-CN"/>
              </w:rPr>
            </w:pPr>
          </w:p>
        </w:tc>
        <w:tc>
          <w:tcPr>
            <w:tcW w:w="1703"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7834BA00" w14:textId="60810DAE" w:rsidR="004928D9" w:rsidRPr="005C4828" w:rsidRDefault="005C4828" w:rsidP="000B7B9A">
            <w:r>
              <w:t xml:space="preserve">- </w:t>
            </w:r>
            <w:r w:rsidRPr="005C4828">
              <w:t>root sequences</w:t>
            </w:r>
          </w:p>
        </w:tc>
        <w:tc>
          <w:tcPr>
            <w:tcW w:w="1949" w:type="dxa"/>
            <w:tcMar>
              <w:left w:w="57" w:type="dxa"/>
              <w:right w:w="57" w:type="dxa"/>
            </w:tcMar>
            <w:vAlign w:val="center"/>
            <w:hideMark/>
          </w:tcPr>
          <w:p w14:paraId="638502CF" w14:textId="44F57807" w:rsidR="004928D9" w:rsidRPr="00B07334" w:rsidRDefault="004928D9" w:rsidP="000B7B9A">
            <w:pPr>
              <w:overflowPunct/>
              <w:autoSpaceDE/>
              <w:autoSpaceDN/>
              <w:adjustRightInd/>
              <w:spacing w:after="0"/>
              <w:jc w:val="center"/>
              <w:textAlignment w:val="auto"/>
              <w:rPr>
                <w:lang w:val="fi-FI" w:eastAsia="zh-CN"/>
              </w:rPr>
            </w:pPr>
            <w:r w:rsidRPr="00B07334">
              <w:rPr>
                <w:lang w:val="fi-FI" w:eastAsia="zh-CN"/>
              </w:rPr>
              <w:t>100</w:t>
            </w:r>
          </w:p>
        </w:tc>
        <w:tc>
          <w:tcPr>
            <w:tcW w:w="1949" w:type="dxa"/>
            <w:tcMar>
              <w:left w:w="57" w:type="dxa"/>
              <w:right w:w="57" w:type="dxa"/>
            </w:tcMar>
            <w:vAlign w:val="center"/>
            <w:hideMark/>
          </w:tcPr>
          <w:p w14:paraId="00C9AE06" w14:textId="31DE1331" w:rsidR="004928D9" w:rsidRPr="00B07334" w:rsidRDefault="004928D9" w:rsidP="000B7B9A">
            <w:pPr>
              <w:overflowPunct/>
              <w:autoSpaceDE/>
              <w:autoSpaceDN/>
              <w:adjustRightInd/>
              <w:spacing w:after="0"/>
              <w:jc w:val="center"/>
              <w:textAlignment w:val="auto"/>
              <w:rPr>
                <w:lang w:val="fi-FI" w:eastAsia="zh-CN"/>
              </w:rPr>
            </w:pPr>
            <w:r w:rsidRPr="00B07334">
              <w:rPr>
                <w:lang w:val="fi-FI" w:eastAsia="zh-CN"/>
              </w:rPr>
              <w:t>138</w:t>
            </w:r>
          </w:p>
        </w:tc>
        <w:tc>
          <w:tcPr>
            <w:tcW w:w="1949" w:type="dxa"/>
            <w:tcMar>
              <w:left w:w="57" w:type="dxa"/>
              <w:right w:w="57" w:type="dxa"/>
            </w:tcMar>
            <w:vAlign w:val="center"/>
            <w:hideMark/>
          </w:tcPr>
          <w:p w14:paraId="4793E91D" w14:textId="3412F99B" w:rsidR="004928D9" w:rsidRPr="00B07334" w:rsidRDefault="007B6C8F" w:rsidP="000B7B9A">
            <w:pPr>
              <w:overflowPunct/>
              <w:autoSpaceDE/>
              <w:autoSpaceDN/>
              <w:adjustRightInd/>
              <w:spacing w:after="0"/>
              <w:jc w:val="center"/>
              <w:textAlignment w:val="auto"/>
              <w:rPr>
                <w:lang w:val="fi-FI" w:eastAsia="zh-CN"/>
              </w:rPr>
            </w:pPr>
            <w:r>
              <w:rPr>
                <w:lang w:val="fi-FI" w:eastAsia="zh-CN"/>
              </w:rPr>
              <w:t xml:space="preserve">52 </w:t>
            </w:r>
          </w:p>
        </w:tc>
        <w:tc>
          <w:tcPr>
            <w:tcW w:w="1949" w:type="dxa"/>
            <w:tcMar>
              <w:left w:w="57" w:type="dxa"/>
              <w:right w:w="57" w:type="dxa"/>
            </w:tcMar>
            <w:vAlign w:val="center"/>
            <w:hideMark/>
          </w:tcPr>
          <w:p w14:paraId="1062CD0A" w14:textId="77777777" w:rsidR="004928D9" w:rsidRPr="00B07334" w:rsidRDefault="004928D9" w:rsidP="000B7B9A">
            <w:pPr>
              <w:overflowPunct/>
              <w:autoSpaceDE/>
              <w:autoSpaceDN/>
              <w:adjustRightInd/>
              <w:spacing w:after="0"/>
              <w:jc w:val="center"/>
              <w:textAlignment w:val="auto"/>
              <w:rPr>
                <w:lang w:val="fi-FI" w:eastAsia="zh-CN"/>
              </w:rPr>
            </w:pPr>
            <w:r w:rsidRPr="00B07334">
              <w:rPr>
                <w:lang w:val="fi-FI" w:eastAsia="zh-CN"/>
              </w:rPr>
              <w:t>138</w:t>
            </w:r>
          </w:p>
        </w:tc>
      </w:tr>
      <w:tr w:rsidR="000B7B9A" w:rsidRPr="00B07334" w14:paraId="003957B4" w14:textId="77777777" w:rsidTr="009B0451">
        <w:trPr>
          <w:trHeight w:val="408"/>
        </w:trPr>
        <w:tc>
          <w:tcPr>
            <w:tcW w:w="277" w:type="dxa"/>
            <w:tcBorders>
              <w:right w:val="single" w:sz="4" w:space="0" w:color="D9D9D9" w:themeColor="background1" w:themeShade="D9"/>
            </w:tcBorders>
            <w:shd w:val="clear" w:color="auto" w:fill="D9D9D9" w:themeFill="background1" w:themeFillShade="D9"/>
            <w:tcMar>
              <w:left w:w="57" w:type="dxa"/>
              <w:right w:w="57" w:type="dxa"/>
            </w:tcMar>
            <w:vAlign w:val="center"/>
            <w:hideMark/>
          </w:tcPr>
          <w:p w14:paraId="4B1C7256" w14:textId="77777777" w:rsidR="004928D9" w:rsidRPr="005C4828" w:rsidRDefault="004928D9" w:rsidP="000B7B9A">
            <w:pPr>
              <w:overflowPunct/>
              <w:autoSpaceDE/>
              <w:autoSpaceDN/>
              <w:adjustRightInd/>
              <w:spacing w:after="0"/>
              <w:textAlignment w:val="auto"/>
              <w:rPr>
                <w:b/>
                <w:lang w:val="fi-FI" w:eastAsia="zh-CN"/>
              </w:rPr>
            </w:pPr>
          </w:p>
        </w:tc>
        <w:tc>
          <w:tcPr>
            <w:tcW w:w="1703"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16682096" w14:textId="10809ACE" w:rsidR="004928D9" w:rsidRPr="005C4828" w:rsidRDefault="005C4828" w:rsidP="000B7B9A">
            <w:r w:rsidRPr="005C4828">
              <w:rPr>
                <w:lang w:val="fi-FI" w:eastAsia="zh-CN"/>
              </w:rPr>
              <w:t>-</w:t>
            </w:r>
            <w:r>
              <w:t xml:space="preserve"> </w:t>
            </w:r>
            <w:r w:rsidRPr="005C4828">
              <w:t>cyclic shifts</w:t>
            </w:r>
          </w:p>
        </w:tc>
        <w:tc>
          <w:tcPr>
            <w:tcW w:w="1949" w:type="dxa"/>
            <w:tcMar>
              <w:left w:w="57" w:type="dxa"/>
              <w:right w:w="57" w:type="dxa"/>
            </w:tcMar>
            <w:vAlign w:val="center"/>
            <w:hideMark/>
          </w:tcPr>
          <w:p w14:paraId="1D5B347F" w14:textId="2AC63B3E" w:rsidR="004928D9" w:rsidRPr="00B07334" w:rsidRDefault="007B6C8F" w:rsidP="000B7B9A">
            <w:pPr>
              <w:overflowPunct/>
              <w:autoSpaceDE/>
              <w:autoSpaceDN/>
              <w:adjustRightInd/>
              <w:spacing w:after="0"/>
              <w:jc w:val="center"/>
              <w:textAlignment w:val="auto"/>
              <w:rPr>
                <w:lang w:val="fi-FI" w:eastAsia="zh-CN"/>
              </w:rPr>
            </w:pPr>
            <w:r>
              <w:rPr>
                <w:lang w:val="fi-FI" w:eastAsia="zh-CN"/>
              </w:rPr>
              <w:t xml:space="preserve">3 </w:t>
            </w:r>
          </w:p>
        </w:tc>
        <w:tc>
          <w:tcPr>
            <w:tcW w:w="1949" w:type="dxa"/>
            <w:tcMar>
              <w:left w:w="57" w:type="dxa"/>
              <w:right w:w="57" w:type="dxa"/>
            </w:tcMar>
            <w:vAlign w:val="center"/>
            <w:hideMark/>
          </w:tcPr>
          <w:p w14:paraId="4EF9AB27" w14:textId="66E09B93" w:rsidR="004928D9" w:rsidRPr="00B07334" w:rsidRDefault="004928D9" w:rsidP="000B7B9A">
            <w:pPr>
              <w:overflowPunct/>
              <w:autoSpaceDE/>
              <w:autoSpaceDN/>
              <w:adjustRightInd/>
              <w:spacing w:after="0"/>
              <w:jc w:val="center"/>
              <w:textAlignment w:val="auto"/>
              <w:rPr>
                <w:lang w:val="fi-FI" w:eastAsia="zh-CN"/>
              </w:rPr>
            </w:pPr>
            <w:r w:rsidRPr="00B07334">
              <w:rPr>
                <w:lang w:val="fi-FI" w:eastAsia="zh-CN"/>
              </w:rPr>
              <w:t>None</w:t>
            </w:r>
          </w:p>
        </w:tc>
        <w:tc>
          <w:tcPr>
            <w:tcW w:w="1949" w:type="dxa"/>
            <w:tcMar>
              <w:left w:w="57" w:type="dxa"/>
              <w:right w:w="57" w:type="dxa"/>
            </w:tcMar>
            <w:vAlign w:val="center"/>
            <w:hideMark/>
          </w:tcPr>
          <w:p w14:paraId="20287B4F" w14:textId="77777777" w:rsidR="004928D9" w:rsidRPr="00B07334" w:rsidRDefault="004928D9" w:rsidP="000B7B9A">
            <w:pPr>
              <w:overflowPunct/>
              <w:autoSpaceDE/>
              <w:autoSpaceDN/>
              <w:adjustRightInd/>
              <w:spacing w:after="0"/>
              <w:jc w:val="center"/>
              <w:textAlignment w:val="auto"/>
              <w:rPr>
                <w:lang w:val="fi-FI" w:eastAsia="zh-CN"/>
              </w:rPr>
            </w:pPr>
            <w:r w:rsidRPr="00B07334">
              <w:rPr>
                <w:lang w:val="fi-FI" w:eastAsia="zh-CN"/>
              </w:rPr>
              <w:t>None</w:t>
            </w:r>
          </w:p>
        </w:tc>
        <w:tc>
          <w:tcPr>
            <w:tcW w:w="1949" w:type="dxa"/>
            <w:tcMar>
              <w:left w:w="57" w:type="dxa"/>
              <w:right w:w="57" w:type="dxa"/>
            </w:tcMar>
            <w:vAlign w:val="center"/>
            <w:hideMark/>
          </w:tcPr>
          <w:p w14:paraId="4C0F40E4" w14:textId="359A95F4" w:rsidR="004928D9" w:rsidRPr="00B07334" w:rsidRDefault="00CB3CFC" w:rsidP="000B7B9A">
            <w:pPr>
              <w:overflowPunct/>
              <w:autoSpaceDE/>
              <w:autoSpaceDN/>
              <w:adjustRightInd/>
              <w:spacing w:after="0"/>
              <w:jc w:val="center"/>
              <w:textAlignment w:val="auto"/>
              <w:rPr>
                <w:lang w:val="fi-FI" w:eastAsia="zh-CN"/>
              </w:rPr>
            </w:pPr>
            <w:r>
              <w:rPr>
                <w:lang w:val="fi-FI" w:eastAsia="zh-CN"/>
              </w:rPr>
              <w:t>16</w:t>
            </w:r>
            <w:r w:rsidR="007B6C8F">
              <w:rPr>
                <w:lang w:val="fi-FI" w:eastAsia="zh-CN"/>
              </w:rPr>
              <w:t xml:space="preserve"> </w:t>
            </w:r>
          </w:p>
        </w:tc>
      </w:tr>
      <w:tr w:rsidR="000B7B9A" w:rsidRPr="00B07334" w14:paraId="23C917A4" w14:textId="77777777" w:rsidTr="000F346E">
        <w:trPr>
          <w:trHeight w:val="408"/>
        </w:trPr>
        <w:tc>
          <w:tcPr>
            <w:tcW w:w="277" w:type="dxa"/>
            <w:tcBorders>
              <w:right w:val="single" w:sz="4" w:space="0" w:color="D9D9D9" w:themeColor="background1" w:themeShade="D9"/>
            </w:tcBorders>
            <w:shd w:val="clear" w:color="auto" w:fill="D9D9D9" w:themeFill="background1" w:themeFillShade="D9"/>
            <w:tcMar>
              <w:left w:w="57" w:type="dxa"/>
              <w:right w:w="57" w:type="dxa"/>
            </w:tcMar>
            <w:vAlign w:val="center"/>
            <w:hideMark/>
          </w:tcPr>
          <w:p w14:paraId="32E644F2" w14:textId="77777777" w:rsidR="004928D9" w:rsidRPr="005C4828" w:rsidRDefault="004928D9" w:rsidP="000B7B9A">
            <w:pPr>
              <w:overflowPunct/>
              <w:autoSpaceDE/>
              <w:autoSpaceDN/>
              <w:adjustRightInd/>
              <w:spacing w:after="0"/>
              <w:textAlignment w:val="auto"/>
              <w:rPr>
                <w:b/>
                <w:lang w:val="fi-FI" w:eastAsia="zh-CN"/>
              </w:rPr>
            </w:pPr>
          </w:p>
        </w:tc>
        <w:tc>
          <w:tcPr>
            <w:tcW w:w="1703"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242732DE" w14:textId="0E6CB7D4" w:rsidR="004928D9" w:rsidRPr="005C4828" w:rsidRDefault="005C4828" w:rsidP="000B7B9A">
            <w:r w:rsidRPr="005C4828">
              <w:rPr>
                <w:lang w:val="fi-FI" w:eastAsia="zh-CN"/>
              </w:rPr>
              <w:t>-</w:t>
            </w:r>
            <w:r>
              <w:t xml:space="preserve"> </w:t>
            </w:r>
            <w:r w:rsidRPr="005C4828">
              <w:t>FDM</w:t>
            </w:r>
          </w:p>
        </w:tc>
        <w:tc>
          <w:tcPr>
            <w:tcW w:w="1949" w:type="dxa"/>
            <w:shd w:val="clear" w:color="auto" w:fill="auto"/>
            <w:tcMar>
              <w:left w:w="57" w:type="dxa"/>
              <w:right w:w="57" w:type="dxa"/>
            </w:tcMar>
            <w:vAlign w:val="center"/>
            <w:hideMark/>
          </w:tcPr>
          <w:p w14:paraId="46EFC65E" w14:textId="1FB90453" w:rsidR="004928D9" w:rsidRPr="00B07334" w:rsidRDefault="00717EBE" w:rsidP="000B7B9A">
            <w:pPr>
              <w:overflowPunct/>
              <w:autoSpaceDE/>
              <w:autoSpaceDN/>
              <w:adjustRightInd/>
              <w:spacing w:after="0"/>
              <w:jc w:val="center"/>
              <w:textAlignment w:val="auto"/>
              <w:rPr>
                <w:lang w:val="fi-FI" w:eastAsia="zh-CN"/>
              </w:rPr>
            </w:pPr>
            <w:r>
              <w:rPr>
                <w:lang w:val="fi-FI" w:eastAsia="zh-CN"/>
              </w:rPr>
              <w:t>6</w:t>
            </w:r>
          </w:p>
        </w:tc>
        <w:tc>
          <w:tcPr>
            <w:tcW w:w="1949" w:type="dxa"/>
            <w:tcMar>
              <w:left w:w="57" w:type="dxa"/>
              <w:right w:w="57" w:type="dxa"/>
            </w:tcMar>
            <w:vAlign w:val="center"/>
            <w:hideMark/>
          </w:tcPr>
          <w:p w14:paraId="7799CCD3" w14:textId="43B173FA" w:rsidR="004928D9" w:rsidRPr="00B07334" w:rsidRDefault="00A5266E" w:rsidP="000B7B9A">
            <w:pPr>
              <w:overflowPunct/>
              <w:autoSpaceDE/>
              <w:autoSpaceDN/>
              <w:adjustRightInd/>
              <w:spacing w:after="0"/>
              <w:jc w:val="center"/>
              <w:textAlignment w:val="auto"/>
              <w:rPr>
                <w:lang w:val="fi-FI" w:eastAsia="zh-CN"/>
              </w:rPr>
            </w:pPr>
            <w:r>
              <w:rPr>
                <w:lang w:val="fi-FI" w:eastAsia="zh-CN"/>
              </w:rPr>
              <w:t>4</w:t>
            </w:r>
          </w:p>
        </w:tc>
        <w:tc>
          <w:tcPr>
            <w:tcW w:w="1949" w:type="dxa"/>
            <w:tcMar>
              <w:left w:w="57" w:type="dxa"/>
              <w:right w:w="57" w:type="dxa"/>
            </w:tcMar>
            <w:vAlign w:val="center"/>
            <w:hideMark/>
          </w:tcPr>
          <w:p w14:paraId="424DE8A2" w14:textId="54FCF10F" w:rsidR="004928D9" w:rsidRPr="00B07334" w:rsidRDefault="002457B3" w:rsidP="000B7B9A">
            <w:pPr>
              <w:overflowPunct/>
              <w:autoSpaceDE/>
              <w:autoSpaceDN/>
              <w:adjustRightInd/>
              <w:spacing w:after="0"/>
              <w:jc w:val="center"/>
              <w:textAlignment w:val="auto"/>
              <w:rPr>
                <w:lang w:val="fi-FI" w:eastAsia="zh-CN"/>
              </w:rPr>
            </w:pPr>
            <w:r>
              <w:rPr>
                <w:lang w:val="fi-FI" w:eastAsia="zh-CN"/>
              </w:rPr>
              <w:t>12</w:t>
            </w:r>
          </w:p>
        </w:tc>
        <w:tc>
          <w:tcPr>
            <w:tcW w:w="1949" w:type="dxa"/>
            <w:tcMar>
              <w:left w:w="57" w:type="dxa"/>
              <w:right w:w="57" w:type="dxa"/>
            </w:tcMar>
            <w:vAlign w:val="center"/>
            <w:hideMark/>
          </w:tcPr>
          <w:p w14:paraId="41E25AFB" w14:textId="371DC511" w:rsidR="004928D9" w:rsidRPr="00B07334" w:rsidRDefault="00717EBE" w:rsidP="000B7B9A">
            <w:pPr>
              <w:overflowPunct/>
              <w:autoSpaceDE/>
              <w:autoSpaceDN/>
              <w:adjustRightInd/>
              <w:spacing w:after="0"/>
              <w:jc w:val="center"/>
              <w:textAlignment w:val="auto"/>
              <w:rPr>
                <w:lang w:val="fi-FI" w:eastAsia="zh-CN"/>
              </w:rPr>
            </w:pPr>
            <w:r>
              <w:rPr>
                <w:lang w:val="fi-FI" w:eastAsia="zh-CN"/>
              </w:rPr>
              <w:t>4</w:t>
            </w:r>
          </w:p>
        </w:tc>
      </w:tr>
      <w:tr w:rsidR="004928D9" w:rsidRPr="00B07334" w14:paraId="62EB188E" w14:textId="77777777" w:rsidTr="000F346E">
        <w:trPr>
          <w:trHeight w:val="584"/>
        </w:trPr>
        <w:tc>
          <w:tcPr>
            <w:tcW w:w="1980" w:type="dxa"/>
            <w:gridSpan w:val="2"/>
            <w:shd w:val="clear" w:color="auto" w:fill="D9D9D9" w:themeFill="background1" w:themeFillShade="D9"/>
            <w:tcMar>
              <w:left w:w="57" w:type="dxa"/>
              <w:right w:w="57" w:type="dxa"/>
            </w:tcMar>
            <w:vAlign w:val="center"/>
            <w:hideMark/>
          </w:tcPr>
          <w:p w14:paraId="749CBADA" w14:textId="66FB9109" w:rsidR="004928D9" w:rsidRPr="005C4828" w:rsidRDefault="000B7B9A" w:rsidP="000B7B9A">
            <w:pPr>
              <w:overflowPunct/>
              <w:autoSpaceDE/>
              <w:autoSpaceDN/>
              <w:adjustRightInd/>
              <w:spacing w:after="0"/>
              <w:textAlignment w:val="auto"/>
              <w:rPr>
                <w:b/>
                <w:lang w:val="fi-FI" w:eastAsia="zh-CN"/>
              </w:rPr>
            </w:pPr>
            <w:r>
              <w:rPr>
                <w:b/>
                <w:lang w:val="fi-FI" w:eastAsia="zh-CN"/>
              </w:rPr>
              <w:t xml:space="preserve"> </w:t>
            </w:r>
            <w:r w:rsidR="005C4828">
              <w:rPr>
                <w:b/>
                <w:lang w:val="fi-FI" w:eastAsia="zh-CN"/>
              </w:rPr>
              <w:t>Overhead (PRBs per PRACH)</w:t>
            </w:r>
          </w:p>
        </w:tc>
        <w:tc>
          <w:tcPr>
            <w:tcW w:w="1949" w:type="dxa"/>
            <w:shd w:val="clear" w:color="auto" w:fill="auto"/>
            <w:tcMar>
              <w:left w:w="57" w:type="dxa"/>
              <w:right w:w="57" w:type="dxa"/>
            </w:tcMar>
            <w:vAlign w:val="center"/>
          </w:tcPr>
          <w:p w14:paraId="4638A57D" w14:textId="0D155784" w:rsidR="004928D9" w:rsidRPr="00B07334" w:rsidRDefault="004928D9" w:rsidP="000B7B9A">
            <w:pPr>
              <w:overflowPunct/>
              <w:autoSpaceDE/>
              <w:autoSpaceDN/>
              <w:adjustRightInd/>
              <w:spacing w:after="0"/>
              <w:jc w:val="center"/>
              <w:textAlignment w:val="auto"/>
              <w:rPr>
                <w:lang w:eastAsia="zh-CN"/>
              </w:rPr>
            </w:pPr>
            <w:r w:rsidRPr="00B07334">
              <w:rPr>
                <w:lang w:eastAsia="zh-CN"/>
              </w:rPr>
              <w:t>17 PRBs</w:t>
            </w:r>
          </w:p>
        </w:tc>
        <w:tc>
          <w:tcPr>
            <w:tcW w:w="1949" w:type="dxa"/>
            <w:shd w:val="clear" w:color="auto" w:fill="CC0000"/>
            <w:tcMar>
              <w:left w:w="57" w:type="dxa"/>
              <w:right w:w="57" w:type="dxa"/>
            </w:tcMar>
            <w:vAlign w:val="center"/>
            <w:hideMark/>
          </w:tcPr>
          <w:p w14:paraId="4BF109C0" w14:textId="4843E56E" w:rsidR="004928D9" w:rsidRPr="007B6C8F" w:rsidRDefault="007671DF" w:rsidP="000B7B9A">
            <w:pPr>
              <w:overflowPunct/>
              <w:autoSpaceDE/>
              <w:autoSpaceDN/>
              <w:adjustRightInd/>
              <w:spacing w:after="0"/>
              <w:jc w:val="center"/>
              <w:textAlignment w:val="auto"/>
              <w:rPr>
                <w:b/>
                <w:color w:val="FFFFFF" w:themeColor="background1"/>
                <w:lang w:eastAsia="zh-CN"/>
              </w:rPr>
            </w:pPr>
            <w:r>
              <w:rPr>
                <w:b/>
                <w:color w:val="FFFFFF" w:themeColor="background1"/>
                <w:lang w:eastAsia="zh-CN"/>
              </w:rPr>
              <w:t>24</w:t>
            </w:r>
            <w:r w:rsidR="004928D9" w:rsidRPr="007B6C8F">
              <w:rPr>
                <w:b/>
                <w:color w:val="FFFFFF" w:themeColor="background1"/>
                <w:lang w:eastAsia="zh-CN"/>
              </w:rPr>
              <w:t xml:space="preserve"> PRBs</w:t>
            </w:r>
          </w:p>
        </w:tc>
        <w:tc>
          <w:tcPr>
            <w:tcW w:w="1949" w:type="dxa"/>
            <w:shd w:val="clear" w:color="auto" w:fill="CC0000"/>
            <w:tcMar>
              <w:left w:w="57" w:type="dxa"/>
              <w:right w:w="57" w:type="dxa"/>
            </w:tcMar>
            <w:vAlign w:val="center"/>
            <w:hideMark/>
          </w:tcPr>
          <w:p w14:paraId="5688660D" w14:textId="24BF3F22" w:rsidR="004928D9" w:rsidRPr="007B6C8F" w:rsidRDefault="004928D9" w:rsidP="000B7B9A">
            <w:pPr>
              <w:overflowPunct/>
              <w:autoSpaceDE/>
              <w:autoSpaceDN/>
              <w:adjustRightInd/>
              <w:spacing w:after="0"/>
              <w:jc w:val="center"/>
              <w:textAlignment w:val="auto"/>
              <w:rPr>
                <w:b/>
                <w:color w:val="FFFFFF" w:themeColor="background1"/>
                <w:lang w:eastAsia="zh-CN"/>
              </w:rPr>
            </w:pPr>
            <w:r w:rsidRPr="007B6C8F">
              <w:rPr>
                <w:b/>
                <w:color w:val="FFFFFF" w:themeColor="background1"/>
                <w:lang w:eastAsia="zh-CN"/>
              </w:rPr>
              <w:t xml:space="preserve">25 PRBs </w:t>
            </w:r>
          </w:p>
        </w:tc>
        <w:tc>
          <w:tcPr>
            <w:tcW w:w="1949" w:type="dxa"/>
            <w:shd w:val="clear" w:color="auto" w:fill="92D050"/>
            <w:tcMar>
              <w:left w:w="57" w:type="dxa"/>
              <w:right w:w="57" w:type="dxa"/>
            </w:tcMar>
            <w:vAlign w:val="center"/>
            <w:hideMark/>
          </w:tcPr>
          <w:p w14:paraId="49BFECC5" w14:textId="7FE8EFF1" w:rsidR="004928D9" w:rsidRPr="00B07334" w:rsidRDefault="004928D9" w:rsidP="000B7B9A">
            <w:pPr>
              <w:overflowPunct/>
              <w:autoSpaceDE/>
              <w:autoSpaceDN/>
              <w:adjustRightInd/>
              <w:spacing w:after="0"/>
              <w:jc w:val="center"/>
              <w:textAlignment w:val="auto"/>
              <w:rPr>
                <w:lang w:val="fi-FI" w:eastAsia="zh-CN"/>
              </w:rPr>
            </w:pPr>
            <w:r w:rsidRPr="00B07334">
              <w:rPr>
                <w:lang w:val="fi-FI" w:eastAsia="zh-CN"/>
              </w:rPr>
              <w:t>12 PRBs</w:t>
            </w:r>
          </w:p>
        </w:tc>
      </w:tr>
      <w:tr w:rsidR="004928D9" w:rsidRPr="007B6C8F" w14:paraId="3652BF7A" w14:textId="77777777" w:rsidTr="000F346E">
        <w:trPr>
          <w:trHeight w:val="584"/>
        </w:trPr>
        <w:tc>
          <w:tcPr>
            <w:tcW w:w="1980" w:type="dxa"/>
            <w:gridSpan w:val="2"/>
            <w:shd w:val="clear" w:color="auto" w:fill="D9D9D9" w:themeFill="background1" w:themeFillShade="D9"/>
            <w:tcMar>
              <w:left w:w="57" w:type="dxa"/>
              <w:right w:w="57" w:type="dxa"/>
            </w:tcMar>
            <w:vAlign w:val="center"/>
            <w:hideMark/>
          </w:tcPr>
          <w:p w14:paraId="7019FB5D" w14:textId="5BF80499" w:rsidR="004928D9" w:rsidRPr="005C4828" w:rsidRDefault="000B7B9A" w:rsidP="000B7B9A">
            <w:pPr>
              <w:overflowPunct/>
              <w:autoSpaceDE/>
              <w:autoSpaceDN/>
              <w:adjustRightInd/>
              <w:spacing w:after="0"/>
              <w:textAlignment w:val="auto"/>
              <w:rPr>
                <w:b/>
                <w:lang w:eastAsia="zh-CN"/>
              </w:rPr>
            </w:pPr>
            <w:r>
              <w:rPr>
                <w:b/>
                <w:lang w:eastAsia="zh-CN"/>
              </w:rPr>
              <w:t xml:space="preserve"> </w:t>
            </w:r>
            <w:r w:rsidR="005C4828">
              <w:rPr>
                <w:b/>
                <w:lang w:eastAsia="zh-CN"/>
              </w:rPr>
              <w:t xml:space="preserve">Max </w:t>
            </w:r>
            <w:r w:rsidR="004928D9" w:rsidRPr="005C4828">
              <w:rPr>
                <w:b/>
                <w:lang w:eastAsia="zh-CN"/>
              </w:rPr>
              <w:t xml:space="preserve">Tx power </w:t>
            </w:r>
          </w:p>
        </w:tc>
        <w:tc>
          <w:tcPr>
            <w:tcW w:w="1949" w:type="dxa"/>
            <w:shd w:val="clear" w:color="auto" w:fill="auto"/>
            <w:tcMar>
              <w:left w:w="57" w:type="dxa"/>
              <w:right w:w="57" w:type="dxa"/>
            </w:tcMar>
            <w:vAlign w:val="center"/>
          </w:tcPr>
          <w:p w14:paraId="7F7FFDB4" w14:textId="3179BEFE" w:rsidR="004928D9" w:rsidRPr="007B6C8F" w:rsidRDefault="007B6C8F" w:rsidP="000B7B9A">
            <w:pPr>
              <w:overflowPunct/>
              <w:autoSpaceDE/>
              <w:autoSpaceDN/>
              <w:adjustRightInd/>
              <w:spacing w:after="0"/>
              <w:jc w:val="center"/>
              <w:textAlignment w:val="auto"/>
              <w:rPr>
                <w:lang w:eastAsia="zh-CN"/>
              </w:rPr>
            </w:pPr>
            <w:r w:rsidRPr="007B6C8F">
              <w:rPr>
                <w:lang w:eastAsia="zh-CN"/>
              </w:rPr>
              <w:t>2</w:t>
            </w:r>
            <w:r>
              <w:rPr>
                <w:lang w:eastAsia="zh-CN"/>
              </w:rPr>
              <w:t>3</w:t>
            </w:r>
            <w:r w:rsidR="004928D9" w:rsidRPr="007B6C8F">
              <w:rPr>
                <w:lang w:eastAsia="zh-CN"/>
              </w:rPr>
              <w:t xml:space="preserve"> dBm</w:t>
            </w:r>
          </w:p>
        </w:tc>
        <w:tc>
          <w:tcPr>
            <w:tcW w:w="1949" w:type="dxa"/>
            <w:tcMar>
              <w:left w:w="57" w:type="dxa"/>
              <w:right w:w="57" w:type="dxa"/>
            </w:tcMar>
            <w:vAlign w:val="center"/>
            <w:hideMark/>
          </w:tcPr>
          <w:p w14:paraId="2FCD21B0" w14:textId="3ADACC8F" w:rsidR="004928D9" w:rsidRPr="007B6C8F" w:rsidRDefault="007B6C8F" w:rsidP="000B7B9A">
            <w:pPr>
              <w:overflowPunct/>
              <w:autoSpaceDE/>
              <w:autoSpaceDN/>
              <w:adjustRightInd/>
              <w:spacing w:after="0"/>
              <w:jc w:val="center"/>
              <w:textAlignment w:val="auto"/>
              <w:rPr>
                <w:lang w:eastAsia="zh-CN"/>
              </w:rPr>
            </w:pPr>
            <w:r w:rsidRPr="007B6C8F">
              <w:rPr>
                <w:lang w:eastAsia="zh-CN"/>
              </w:rPr>
              <w:t>21</w:t>
            </w:r>
            <w:r w:rsidR="004928D9" w:rsidRPr="007B6C8F">
              <w:rPr>
                <w:lang w:eastAsia="zh-CN"/>
              </w:rPr>
              <w:t xml:space="preserve"> dBm</w:t>
            </w:r>
          </w:p>
        </w:tc>
        <w:tc>
          <w:tcPr>
            <w:tcW w:w="1949" w:type="dxa"/>
            <w:tcMar>
              <w:left w:w="57" w:type="dxa"/>
              <w:right w:w="57" w:type="dxa"/>
            </w:tcMar>
            <w:vAlign w:val="center"/>
            <w:hideMark/>
          </w:tcPr>
          <w:p w14:paraId="5F6F6E74" w14:textId="60A56F97" w:rsidR="004928D9" w:rsidRPr="007B6C8F" w:rsidRDefault="007B6C8F" w:rsidP="000B7B9A">
            <w:pPr>
              <w:overflowPunct/>
              <w:autoSpaceDE/>
              <w:autoSpaceDN/>
              <w:adjustRightInd/>
              <w:spacing w:after="0"/>
              <w:jc w:val="center"/>
              <w:textAlignment w:val="auto"/>
              <w:rPr>
                <w:lang w:eastAsia="zh-CN"/>
              </w:rPr>
            </w:pPr>
            <w:r>
              <w:rPr>
                <w:lang w:eastAsia="zh-CN"/>
              </w:rPr>
              <w:t>23</w:t>
            </w:r>
            <w:r w:rsidR="004928D9" w:rsidRPr="007B6C8F">
              <w:rPr>
                <w:lang w:eastAsia="zh-CN"/>
              </w:rPr>
              <w:t xml:space="preserve"> dBm</w:t>
            </w:r>
          </w:p>
        </w:tc>
        <w:tc>
          <w:tcPr>
            <w:tcW w:w="1949" w:type="dxa"/>
            <w:tcMar>
              <w:left w:w="57" w:type="dxa"/>
              <w:right w:w="57" w:type="dxa"/>
            </w:tcMar>
            <w:vAlign w:val="center"/>
            <w:hideMark/>
          </w:tcPr>
          <w:p w14:paraId="50ED2FE2" w14:textId="56C7EB40" w:rsidR="004928D9" w:rsidRPr="007B6C8F" w:rsidRDefault="007B6C8F" w:rsidP="000B7B9A">
            <w:pPr>
              <w:overflowPunct/>
              <w:autoSpaceDE/>
              <w:autoSpaceDN/>
              <w:adjustRightInd/>
              <w:spacing w:after="0"/>
              <w:jc w:val="center"/>
              <w:textAlignment w:val="auto"/>
              <w:rPr>
                <w:lang w:eastAsia="zh-CN"/>
              </w:rPr>
            </w:pPr>
            <w:r w:rsidRPr="007B6C8F">
              <w:rPr>
                <w:lang w:eastAsia="zh-CN"/>
              </w:rPr>
              <w:t>17</w:t>
            </w:r>
            <w:r w:rsidR="004928D9" w:rsidRPr="007B6C8F">
              <w:rPr>
                <w:lang w:eastAsia="zh-CN"/>
              </w:rPr>
              <w:t xml:space="preserve"> dBm</w:t>
            </w:r>
          </w:p>
        </w:tc>
      </w:tr>
      <w:tr w:rsidR="004928D9" w:rsidRPr="007B6C8F" w14:paraId="2A9AD227" w14:textId="77777777" w:rsidTr="006C0823">
        <w:trPr>
          <w:trHeight w:val="429"/>
        </w:trPr>
        <w:tc>
          <w:tcPr>
            <w:tcW w:w="1980" w:type="dxa"/>
            <w:gridSpan w:val="2"/>
            <w:shd w:val="clear" w:color="auto" w:fill="D9D9D9" w:themeFill="background1" w:themeFillShade="D9"/>
            <w:tcMar>
              <w:left w:w="57" w:type="dxa"/>
              <w:right w:w="57" w:type="dxa"/>
            </w:tcMar>
            <w:vAlign w:val="center"/>
            <w:hideMark/>
          </w:tcPr>
          <w:p w14:paraId="1F888503" w14:textId="54D544DC" w:rsidR="004928D9" w:rsidRPr="007B6C8F" w:rsidRDefault="000B7B9A" w:rsidP="000B7B9A">
            <w:pPr>
              <w:overflowPunct/>
              <w:autoSpaceDE/>
              <w:autoSpaceDN/>
              <w:adjustRightInd/>
              <w:spacing w:after="0"/>
              <w:textAlignment w:val="auto"/>
              <w:rPr>
                <w:b/>
                <w:lang w:eastAsia="zh-CN"/>
              </w:rPr>
            </w:pPr>
            <w:r w:rsidRPr="007B6C8F">
              <w:rPr>
                <w:b/>
                <w:lang w:eastAsia="zh-CN"/>
              </w:rPr>
              <w:t xml:space="preserve"> </w:t>
            </w:r>
            <w:r w:rsidR="004928D9" w:rsidRPr="007B6C8F">
              <w:rPr>
                <w:b/>
                <w:lang w:eastAsia="zh-CN"/>
              </w:rPr>
              <w:t>PAPR / CM</w:t>
            </w:r>
          </w:p>
        </w:tc>
        <w:tc>
          <w:tcPr>
            <w:tcW w:w="1949" w:type="dxa"/>
            <w:tcMar>
              <w:left w:w="57" w:type="dxa"/>
              <w:right w:w="57" w:type="dxa"/>
            </w:tcMar>
            <w:vAlign w:val="center"/>
          </w:tcPr>
          <w:p w14:paraId="4922A260" w14:textId="5819DDD3" w:rsidR="004928D9" w:rsidRPr="007B6C8F" w:rsidRDefault="004928D9" w:rsidP="000B7B9A">
            <w:pPr>
              <w:overflowPunct/>
              <w:autoSpaceDE/>
              <w:autoSpaceDN/>
              <w:adjustRightInd/>
              <w:spacing w:after="0"/>
              <w:jc w:val="center"/>
              <w:textAlignment w:val="auto"/>
              <w:rPr>
                <w:lang w:eastAsia="zh-CN"/>
              </w:rPr>
            </w:pPr>
            <w:r w:rsidRPr="007B6C8F">
              <w:rPr>
                <w:lang w:eastAsia="zh-CN"/>
              </w:rPr>
              <w:t>Low</w:t>
            </w:r>
          </w:p>
        </w:tc>
        <w:tc>
          <w:tcPr>
            <w:tcW w:w="1949" w:type="dxa"/>
            <w:tcMar>
              <w:left w:w="57" w:type="dxa"/>
              <w:right w:w="57" w:type="dxa"/>
            </w:tcMar>
            <w:vAlign w:val="center"/>
            <w:hideMark/>
          </w:tcPr>
          <w:p w14:paraId="536387D3" w14:textId="3A8CC465" w:rsidR="004928D9" w:rsidRPr="007B6C8F" w:rsidRDefault="004928D9" w:rsidP="000B7B9A">
            <w:pPr>
              <w:overflowPunct/>
              <w:autoSpaceDE/>
              <w:autoSpaceDN/>
              <w:adjustRightInd/>
              <w:spacing w:after="0"/>
              <w:jc w:val="center"/>
              <w:textAlignment w:val="auto"/>
              <w:rPr>
                <w:lang w:eastAsia="zh-CN"/>
              </w:rPr>
            </w:pPr>
            <w:r w:rsidRPr="007B6C8F">
              <w:rPr>
                <w:lang w:eastAsia="zh-CN"/>
              </w:rPr>
              <w:t>Increased</w:t>
            </w:r>
          </w:p>
        </w:tc>
        <w:tc>
          <w:tcPr>
            <w:tcW w:w="1949" w:type="dxa"/>
            <w:tcMar>
              <w:left w:w="57" w:type="dxa"/>
              <w:right w:w="57" w:type="dxa"/>
            </w:tcMar>
            <w:vAlign w:val="center"/>
            <w:hideMark/>
          </w:tcPr>
          <w:p w14:paraId="42123CFF" w14:textId="455722F8" w:rsidR="004928D9" w:rsidRPr="007B6C8F" w:rsidRDefault="004928D9" w:rsidP="000B7B9A">
            <w:pPr>
              <w:overflowPunct/>
              <w:autoSpaceDE/>
              <w:autoSpaceDN/>
              <w:adjustRightInd/>
              <w:spacing w:after="0"/>
              <w:jc w:val="center"/>
              <w:textAlignment w:val="auto"/>
              <w:rPr>
                <w:lang w:eastAsia="zh-CN"/>
              </w:rPr>
            </w:pPr>
            <w:r w:rsidRPr="007B6C8F">
              <w:rPr>
                <w:lang w:eastAsia="zh-CN"/>
              </w:rPr>
              <w:t>Increased</w:t>
            </w:r>
          </w:p>
        </w:tc>
        <w:tc>
          <w:tcPr>
            <w:tcW w:w="1949" w:type="dxa"/>
            <w:tcMar>
              <w:left w:w="57" w:type="dxa"/>
              <w:right w:w="57" w:type="dxa"/>
            </w:tcMar>
            <w:vAlign w:val="center"/>
            <w:hideMark/>
          </w:tcPr>
          <w:p w14:paraId="50BAD56F" w14:textId="3AE55A7D" w:rsidR="004928D9" w:rsidRPr="007B6C8F" w:rsidRDefault="004928D9" w:rsidP="000B7B9A">
            <w:pPr>
              <w:overflowPunct/>
              <w:autoSpaceDE/>
              <w:autoSpaceDN/>
              <w:adjustRightInd/>
              <w:spacing w:after="0"/>
              <w:jc w:val="center"/>
              <w:textAlignment w:val="auto"/>
              <w:rPr>
                <w:lang w:eastAsia="zh-CN"/>
              </w:rPr>
            </w:pPr>
            <w:r w:rsidRPr="007B6C8F">
              <w:rPr>
                <w:lang w:eastAsia="zh-CN"/>
              </w:rPr>
              <w:t>Low</w:t>
            </w:r>
          </w:p>
        </w:tc>
      </w:tr>
      <w:tr w:rsidR="004928D9" w:rsidRPr="00B07334" w14:paraId="5A8C6AA4" w14:textId="77777777" w:rsidTr="00F72AAE">
        <w:trPr>
          <w:trHeight w:val="221"/>
        </w:trPr>
        <w:tc>
          <w:tcPr>
            <w:tcW w:w="1980" w:type="dxa"/>
            <w:gridSpan w:val="2"/>
            <w:tcBorders>
              <w:bottom w:val="single" w:sz="4" w:space="0" w:color="D9D9D9" w:themeColor="background1" w:themeShade="D9"/>
            </w:tcBorders>
            <w:shd w:val="clear" w:color="auto" w:fill="D9D9D9" w:themeFill="background1" w:themeFillShade="D9"/>
            <w:tcMar>
              <w:left w:w="57" w:type="dxa"/>
              <w:right w:w="57" w:type="dxa"/>
            </w:tcMar>
            <w:vAlign w:val="center"/>
            <w:hideMark/>
          </w:tcPr>
          <w:p w14:paraId="107CD8F2" w14:textId="33FC465D" w:rsidR="004928D9" w:rsidRPr="005C4828" w:rsidRDefault="000B7B9A" w:rsidP="000B7B9A">
            <w:pPr>
              <w:overflowPunct/>
              <w:autoSpaceDE/>
              <w:autoSpaceDN/>
              <w:adjustRightInd/>
              <w:spacing w:after="0"/>
              <w:textAlignment w:val="auto"/>
              <w:rPr>
                <w:b/>
                <w:lang w:eastAsia="zh-CN"/>
              </w:rPr>
            </w:pPr>
            <w:r>
              <w:rPr>
                <w:b/>
                <w:lang w:eastAsia="zh-CN"/>
              </w:rPr>
              <w:t xml:space="preserve"> </w:t>
            </w:r>
            <w:r w:rsidR="004928D9" w:rsidRPr="005C4828">
              <w:rPr>
                <w:b/>
                <w:lang w:eastAsia="zh-CN"/>
              </w:rPr>
              <w:t xml:space="preserve">Multiplexing </w:t>
            </w:r>
          </w:p>
        </w:tc>
        <w:tc>
          <w:tcPr>
            <w:tcW w:w="1949" w:type="dxa"/>
            <w:tcBorders>
              <w:bottom w:val="single" w:sz="4" w:space="0" w:color="FFC000"/>
            </w:tcBorders>
            <w:shd w:val="clear" w:color="auto" w:fill="FFC000"/>
            <w:tcMar>
              <w:left w:w="57" w:type="dxa"/>
              <w:right w:w="57" w:type="dxa"/>
            </w:tcMar>
            <w:vAlign w:val="center"/>
          </w:tcPr>
          <w:p w14:paraId="5D32A86B" w14:textId="716E32DD" w:rsidR="004928D9" w:rsidRPr="00B07334" w:rsidRDefault="004928D9" w:rsidP="000B7B9A">
            <w:pPr>
              <w:overflowPunct/>
              <w:autoSpaceDE/>
              <w:autoSpaceDN/>
              <w:adjustRightInd/>
              <w:spacing w:after="0"/>
              <w:jc w:val="center"/>
              <w:textAlignment w:val="auto"/>
              <w:rPr>
                <w:lang w:eastAsia="zh-CN"/>
              </w:rPr>
            </w:pPr>
          </w:p>
        </w:tc>
        <w:tc>
          <w:tcPr>
            <w:tcW w:w="1949" w:type="dxa"/>
            <w:tcBorders>
              <w:bottom w:val="single" w:sz="4" w:space="0" w:color="FFC000"/>
            </w:tcBorders>
            <w:shd w:val="clear" w:color="auto" w:fill="FFC000"/>
            <w:tcMar>
              <w:left w:w="57" w:type="dxa"/>
              <w:right w:w="57" w:type="dxa"/>
            </w:tcMar>
            <w:vAlign w:val="center"/>
          </w:tcPr>
          <w:p w14:paraId="209B66ED" w14:textId="6095E48F" w:rsidR="004928D9" w:rsidRPr="00B07334" w:rsidRDefault="004928D9" w:rsidP="000B7B9A">
            <w:pPr>
              <w:overflowPunct/>
              <w:autoSpaceDE/>
              <w:autoSpaceDN/>
              <w:adjustRightInd/>
              <w:spacing w:after="0"/>
              <w:jc w:val="center"/>
              <w:textAlignment w:val="auto"/>
              <w:rPr>
                <w:lang w:eastAsia="zh-CN"/>
              </w:rPr>
            </w:pPr>
          </w:p>
        </w:tc>
        <w:tc>
          <w:tcPr>
            <w:tcW w:w="1949" w:type="dxa"/>
            <w:tcBorders>
              <w:bottom w:val="single" w:sz="4" w:space="0" w:color="FFC000"/>
            </w:tcBorders>
            <w:shd w:val="clear" w:color="auto" w:fill="FFC000"/>
            <w:tcMar>
              <w:left w:w="57" w:type="dxa"/>
              <w:right w:w="57" w:type="dxa"/>
            </w:tcMar>
            <w:vAlign w:val="center"/>
          </w:tcPr>
          <w:p w14:paraId="13A318BF" w14:textId="6F1DAD7F" w:rsidR="004928D9" w:rsidRPr="007B6C8F" w:rsidRDefault="004928D9" w:rsidP="000B7B9A">
            <w:pPr>
              <w:overflowPunct/>
              <w:autoSpaceDE/>
              <w:autoSpaceDN/>
              <w:adjustRightInd/>
              <w:spacing w:after="0"/>
              <w:jc w:val="center"/>
              <w:textAlignment w:val="auto"/>
              <w:rPr>
                <w:b/>
                <w:color w:val="FFFFFF" w:themeColor="background1"/>
                <w:lang w:eastAsia="zh-CN"/>
              </w:rPr>
            </w:pPr>
          </w:p>
        </w:tc>
        <w:tc>
          <w:tcPr>
            <w:tcW w:w="1949" w:type="dxa"/>
            <w:tcBorders>
              <w:bottom w:val="single" w:sz="4" w:space="0" w:color="92D050"/>
            </w:tcBorders>
            <w:shd w:val="clear" w:color="auto" w:fill="92D050"/>
            <w:tcMar>
              <w:left w:w="57" w:type="dxa"/>
              <w:right w:w="57" w:type="dxa"/>
            </w:tcMar>
            <w:vAlign w:val="center"/>
          </w:tcPr>
          <w:p w14:paraId="72F921A3" w14:textId="2E4383A2" w:rsidR="004928D9" w:rsidRPr="00B07334" w:rsidRDefault="004928D9" w:rsidP="000B7B9A">
            <w:pPr>
              <w:overflowPunct/>
              <w:autoSpaceDE/>
              <w:autoSpaceDN/>
              <w:adjustRightInd/>
              <w:spacing w:after="0"/>
              <w:jc w:val="center"/>
              <w:textAlignment w:val="auto"/>
              <w:rPr>
                <w:lang w:eastAsia="zh-CN"/>
              </w:rPr>
            </w:pPr>
          </w:p>
        </w:tc>
      </w:tr>
      <w:tr w:rsidR="009B0451" w:rsidRPr="00B07334" w14:paraId="29A222F9" w14:textId="77777777" w:rsidTr="00F72AAE">
        <w:trPr>
          <w:trHeight w:val="584"/>
        </w:trPr>
        <w:tc>
          <w:tcPr>
            <w:tcW w:w="277" w:type="dxa"/>
            <w:tcBorders>
              <w:top w:val="single" w:sz="4" w:space="0" w:color="D9D9D9" w:themeColor="background1" w:themeShade="D9"/>
              <w:right w:val="single" w:sz="4" w:space="0" w:color="D9D9D9" w:themeColor="background1" w:themeShade="D9"/>
            </w:tcBorders>
            <w:shd w:val="clear" w:color="auto" w:fill="D9D9D9" w:themeFill="background1" w:themeFillShade="D9"/>
            <w:tcMar>
              <w:left w:w="57" w:type="dxa"/>
              <w:right w:w="57" w:type="dxa"/>
            </w:tcMar>
            <w:vAlign w:val="center"/>
            <w:hideMark/>
          </w:tcPr>
          <w:p w14:paraId="70A391C3" w14:textId="7FD0D76F" w:rsidR="000B7B9A" w:rsidRPr="005C4828" w:rsidRDefault="000B7B9A" w:rsidP="000B7B9A">
            <w:pPr>
              <w:overflowPunct/>
              <w:autoSpaceDE/>
              <w:autoSpaceDN/>
              <w:adjustRightInd/>
              <w:spacing w:after="0"/>
              <w:textAlignment w:val="auto"/>
              <w:rPr>
                <w:b/>
                <w:lang w:eastAsia="zh-CN"/>
              </w:rPr>
            </w:pPr>
          </w:p>
        </w:tc>
        <w:tc>
          <w:tcPr>
            <w:tcW w:w="1703" w:type="dxa"/>
            <w:tcBorders>
              <w:top w:val="single" w:sz="4" w:space="0" w:color="D9D9D9" w:themeColor="background1" w:themeShade="D9"/>
              <w:left w:val="single" w:sz="4" w:space="0" w:color="D9D9D9" w:themeColor="background1" w:themeShade="D9"/>
            </w:tcBorders>
            <w:shd w:val="clear" w:color="auto" w:fill="D9D9D9" w:themeFill="background1" w:themeFillShade="D9"/>
            <w:tcMar>
              <w:left w:w="57" w:type="dxa"/>
              <w:right w:w="57" w:type="dxa"/>
            </w:tcMar>
            <w:vAlign w:val="center"/>
          </w:tcPr>
          <w:p w14:paraId="57E3FC4E" w14:textId="13B1B7B5" w:rsidR="000B7B9A" w:rsidRPr="000B7B9A" w:rsidRDefault="000B7B9A" w:rsidP="000B7B9A">
            <w:r w:rsidRPr="000B7B9A">
              <w:rPr>
                <w:lang w:eastAsia="zh-CN"/>
              </w:rPr>
              <w:t>-</w:t>
            </w:r>
            <w:r w:rsidRPr="000B7B9A">
              <w:t xml:space="preserve"> with co</w:t>
            </w:r>
            <w:r>
              <w:t>ntinuous PUSCH</w:t>
            </w:r>
          </w:p>
        </w:tc>
        <w:tc>
          <w:tcPr>
            <w:tcW w:w="1949" w:type="dxa"/>
            <w:tcBorders>
              <w:top w:val="single" w:sz="4" w:space="0" w:color="FFC000"/>
            </w:tcBorders>
            <w:shd w:val="clear" w:color="auto" w:fill="FFC000"/>
            <w:tcMar>
              <w:left w:w="57" w:type="dxa"/>
              <w:right w:w="57" w:type="dxa"/>
            </w:tcMar>
          </w:tcPr>
          <w:p w14:paraId="14B07CF0" w14:textId="56FCC3FA" w:rsidR="000B7B9A" w:rsidRPr="004928D9" w:rsidRDefault="000B7B9A" w:rsidP="007B6C8F">
            <w:pPr>
              <w:overflowPunct/>
              <w:autoSpaceDE/>
              <w:autoSpaceDN/>
              <w:adjustRightInd/>
              <w:spacing w:after="0"/>
              <w:jc w:val="center"/>
              <w:textAlignment w:val="auto"/>
              <w:rPr>
                <w:lang w:eastAsia="zh-CN"/>
              </w:rPr>
            </w:pPr>
            <w:r w:rsidRPr="000B7B9A">
              <w:rPr>
                <w:lang w:eastAsia="zh-CN"/>
              </w:rPr>
              <w:t>33% of REs per PRB punctured</w:t>
            </w:r>
          </w:p>
        </w:tc>
        <w:tc>
          <w:tcPr>
            <w:tcW w:w="1949" w:type="dxa"/>
            <w:tcBorders>
              <w:top w:val="single" w:sz="4" w:space="0" w:color="FFC000"/>
            </w:tcBorders>
            <w:shd w:val="clear" w:color="auto" w:fill="FFC000"/>
            <w:tcMar>
              <w:left w:w="57" w:type="dxa"/>
              <w:right w:w="57" w:type="dxa"/>
            </w:tcMar>
            <w:hideMark/>
          </w:tcPr>
          <w:p w14:paraId="6053174C" w14:textId="7591A75D" w:rsidR="000B7B9A" w:rsidRPr="00B07334" w:rsidRDefault="000B7B9A" w:rsidP="007B6C8F">
            <w:pPr>
              <w:overflowPunct/>
              <w:autoSpaceDE/>
              <w:autoSpaceDN/>
              <w:adjustRightInd/>
              <w:spacing w:after="0"/>
              <w:jc w:val="center"/>
              <w:textAlignment w:val="auto"/>
              <w:rPr>
                <w:lang w:val="fi-FI" w:eastAsia="zh-CN"/>
              </w:rPr>
            </w:pPr>
            <w:r w:rsidRPr="007B6C8F">
              <w:rPr>
                <w:lang w:eastAsia="zh-CN"/>
              </w:rPr>
              <w:t>Fra</w:t>
            </w:r>
            <w:r w:rsidRPr="00B07334">
              <w:rPr>
                <w:lang w:val="fi-FI" w:eastAsia="zh-CN"/>
              </w:rPr>
              <w:t>gmented allocations</w:t>
            </w:r>
          </w:p>
        </w:tc>
        <w:tc>
          <w:tcPr>
            <w:tcW w:w="1949" w:type="dxa"/>
            <w:tcBorders>
              <w:top w:val="single" w:sz="4" w:space="0" w:color="FFC000"/>
            </w:tcBorders>
            <w:shd w:val="clear" w:color="auto" w:fill="FFC000"/>
            <w:tcMar>
              <w:left w:w="57" w:type="dxa"/>
              <w:right w:w="57" w:type="dxa"/>
            </w:tcMar>
            <w:hideMark/>
          </w:tcPr>
          <w:p w14:paraId="31236391" w14:textId="77777777" w:rsidR="000B7B9A" w:rsidRPr="00F72AAE" w:rsidRDefault="000B7B9A" w:rsidP="007B6C8F">
            <w:pPr>
              <w:overflowPunct/>
              <w:autoSpaceDE/>
              <w:autoSpaceDN/>
              <w:adjustRightInd/>
              <w:spacing w:after="0"/>
              <w:jc w:val="center"/>
              <w:textAlignment w:val="auto"/>
              <w:rPr>
                <w:lang w:val="fi-FI" w:eastAsia="zh-CN"/>
              </w:rPr>
            </w:pPr>
            <w:r w:rsidRPr="00F72AAE">
              <w:rPr>
                <w:lang w:val="fi-FI" w:eastAsia="zh-CN"/>
              </w:rPr>
              <w:t>Every 2nd PRB punctured</w:t>
            </w:r>
          </w:p>
        </w:tc>
        <w:tc>
          <w:tcPr>
            <w:tcW w:w="1949" w:type="dxa"/>
            <w:tcBorders>
              <w:top w:val="single" w:sz="4" w:space="0" w:color="92D050"/>
            </w:tcBorders>
            <w:shd w:val="clear" w:color="auto" w:fill="92D050"/>
            <w:tcMar>
              <w:left w:w="57" w:type="dxa"/>
              <w:right w:w="57" w:type="dxa"/>
            </w:tcMar>
            <w:hideMark/>
          </w:tcPr>
          <w:p w14:paraId="35AF8586" w14:textId="77777777" w:rsidR="000B7B9A" w:rsidRPr="00B07334" w:rsidRDefault="000B7B9A" w:rsidP="007B6C8F">
            <w:pPr>
              <w:overflowPunct/>
              <w:autoSpaceDE/>
              <w:autoSpaceDN/>
              <w:adjustRightInd/>
              <w:spacing w:after="0"/>
              <w:jc w:val="center"/>
              <w:textAlignment w:val="auto"/>
              <w:rPr>
                <w:lang w:val="fi-FI" w:eastAsia="zh-CN"/>
              </w:rPr>
            </w:pPr>
            <w:r w:rsidRPr="00B07334">
              <w:rPr>
                <w:lang w:val="fi-FI" w:eastAsia="zh-CN"/>
              </w:rPr>
              <w:t>Good</w:t>
            </w:r>
          </w:p>
        </w:tc>
      </w:tr>
      <w:tr w:rsidR="000B7B9A" w:rsidRPr="00B07334" w14:paraId="7565FF7C" w14:textId="77777777" w:rsidTr="00F72AAE">
        <w:trPr>
          <w:trHeight w:val="584"/>
        </w:trPr>
        <w:tc>
          <w:tcPr>
            <w:tcW w:w="277" w:type="dxa"/>
            <w:tcBorders>
              <w:right w:val="single" w:sz="4" w:space="0" w:color="D9D9D9" w:themeColor="background1" w:themeShade="D9"/>
            </w:tcBorders>
            <w:shd w:val="clear" w:color="auto" w:fill="D9D9D9" w:themeFill="background1" w:themeFillShade="D9"/>
            <w:tcMar>
              <w:left w:w="57" w:type="dxa"/>
              <w:right w:w="57" w:type="dxa"/>
            </w:tcMar>
            <w:vAlign w:val="center"/>
          </w:tcPr>
          <w:p w14:paraId="7953DD4E" w14:textId="6F0A8430" w:rsidR="000B7B9A" w:rsidRPr="005C4828" w:rsidRDefault="000B7B9A" w:rsidP="000B7B9A">
            <w:pPr>
              <w:overflowPunct/>
              <w:autoSpaceDE/>
              <w:autoSpaceDN/>
              <w:adjustRightInd/>
              <w:spacing w:after="0"/>
              <w:textAlignment w:val="auto"/>
              <w:rPr>
                <w:lang w:eastAsia="zh-CN"/>
              </w:rPr>
            </w:pPr>
          </w:p>
        </w:tc>
        <w:tc>
          <w:tcPr>
            <w:tcW w:w="1703" w:type="dxa"/>
            <w:tcBorders>
              <w:left w:val="single" w:sz="4" w:space="0" w:color="D9D9D9" w:themeColor="background1" w:themeShade="D9"/>
            </w:tcBorders>
            <w:shd w:val="clear" w:color="auto" w:fill="D9D9D9" w:themeFill="background1" w:themeFillShade="D9"/>
            <w:tcMar>
              <w:left w:w="57" w:type="dxa"/>
              <w:right w:w="57" w:type="dxa"/>
            </w:tcMar>
            <w:vAlign w:val="center"/>
          </w:tcPr>
          <w:p w14:paraId="4C247443" w14:textId="0AF940AC" w:rsidR="000B7B9A" w:rsidRPr="000B7B9A" w:rsidRDefault="000B7B9A" w:rsidP="000B7B9A">
            <w:r w:rsidRPr="000B7B9A">
              <w:rPr>
                <w:lang w:eastAsia="zh-CN"/>
              </w:rPr>
              <w:t>-</w:t>
            </w:r>
            <w:r w:rsidRPr="000B7B9A">
              <w:t xml:space="preserve"> with B-IFDMA PUSCH</w:t>
            </w:r>
          </w:p>
        </w:tc>
        <w:tc>
          <w:tcPr>
            <w:tcW w:w="1949" w:type="dxa"/>
            <w:shd w:val="clear" w:color="auto" w:fill="FFC000"/>
            <w:tcMar>
              <w:left w:w="57" w:type="dxa"/>
              <w:right w:w="57" w:type="dxa"/>
            </w:tcMar>
            <w:vAlign w:val="center"/>
          </w:tcPr>
          <w:p w14:paraId="4261F958" w14:textId="71B76B31" w:rsidR="000B7B9A" w:rsidRPr="007B6C8F" w:rsidRDefault="000B7B9A" w:rsidP="000B7B9A">
            <w:pPr>
              <w:overflowPunct/>
              <w:autoSpaceDE/>
              <w:autoSpaceDN/>
              <w:adjustRightInd/>
              <w:spacing w:after="0"/>
              <w:jc w:val="center"/>
              <w:textAlignment w:val="auto"/>
              <w:rPr>
                <w:lang w:eastAsia="zh-CN"/>
              </w:rPr>
            </w:pPr>
            <w:r w:rsidRPr="007B6C8F">
              <w:rPr>
                <w:lang w:eastAsia="zh-CN"/>
              </w:rPr>
              <w:t xml:space="preserve">33% of REs per PRB punctured. </w:t>
            </w:r>
          </w:p>
        </w:tc>
        <w:tc>
          <w:tcPr>
            <w:tcW w:w="1949" w:type="dxa"/>
            <w:shd w:val="clear" w:color="auto" w:fill="92D050"/>
            <w:tcMar>
              <w:left w:w="57" w:type="dxa"/>
              <w:right w:w="57" w:type="dxa"/>
            </w:tcMar>
            <w:vAlign w:val="center"/>
          </w:tcPr>
          <w:p w14:paraId="2D8D04F5" w14:textId="49AD6DE9" w:rsidR="000B7B9A" w:rsidRPr="007B6C8F" w:rsidRDefault="000B7B9A" w:rsidP="000B7B9A">
            <w:pPr>
              <w:overflowPunct/>
              <w:autoSpaceDE/>
              <w:autoSpaceDN/>
              <w:adjustRightInd/>
              <w:spacing w:after="0"/>
              <w:jc w:val="center"/>
              <w:textAlignment w:val="auto"/>
              <w:rPr>
                <w:lang w:eastAsia="zh-CN"/>
              </w:rPr>
            </w:pPr>
            <w:r w:rsidRPr="007B6C8F">
              <w:rPr>
                <w:lang w:eastAsia="zh-CN"/>
              </w:rPr>
              <w:t xml:space="preserve">0-20% of blocks punctured from remaining </w:t>
            </w:r>
            <w:r w:rsidR="007671DF">
              <w:rPr>
                <w:bCs/>
                <w:lang w:eastAsia="zh-CN"/>
              </w:rPr>
              <w:t>3</w:t>
            </w:r>
            <w:r w:rsidRPr="007B6C8F">
              <w:rPr>
                <w:lang w:eastAsia="zh-CN"/>
              </w:rPr>
              <w:t xml:space="preserve"> interlaces</w:t>
            </w:r>
          </w:p>
        </w:tc>
        <w:tc>
          <w:tcPr>
            <w:tcW w:w="1949" w:type="dxa"/>
            <w:shd w:val="clear" w:color="auto" w:fill="FFC000"/>
            <w:tcMar>
              <w:left w:w="57" w:type="dxa"/>
              <w:right w:w="57" w:type="dxa"/>
            </w:tcMar>
            <w:vAlign w:val="center"/>
          </w:tcPr>
          <w:p w14:paraId="406ADBC8" w14:textId="5145ED74" w:rsidR="000B7B9A" w:rsidRPr="00F72AAE" w:rsidRDefault="000B7B9A" w:rsidP="000B7B9A">
            <w:pPr>
              <w:overflowPunct/>
              <w:autoSpaceDE/>
              <w:autoSpaceDN/>
              <w:adjustRightInd/>
              <w:spacing w:after="0"/>
              <w:jc w:val="center"/>
              <w:textAlignment w:val="auto"/>
              <w:rPr>
                <w:lang w:eastAsia="zh-CN"/>
              </w:rPr>
            </w:pPr>
            <w:r w:rsidRPr="00F72AAE">
              <w:rPr>
                <w:lang w:eastAsia="zh-CN"/>
              </w:rPr>
              <w:t xml:space="preserve">50% of blocks punctured from every interlace </w:t>
            </w:r>
            <w:r w:rsidR="007B6C8F" w:rsidRPr="00F72AAE">
              <w:rPr>
                <w:lang w:eastAsia="zh-CN"/>
              </w:rPr>
              <w:t>(</w:t>
            </w:r>
            <w:r w:rsidRPr="00F72AAE">
              <w:rPr>
                <w:bCs/>
                <w:lang w:eastAsia="zh-CN"/>
              </w:rPr>
              <w:t>odd number of interlaces</w:t>
            </w:r>
            <w:r w:rsidR="007B6C8F" w:rsidRPr="00F72AAE">
              <w:rPr>
                <w:lang w:eastAsia="zh-CN"/>
              </w:rPr>
              <w:t>)</w:t>
            </w:r>
          </w:p>
        </w:tc>
        <w:tc>
          <w:tcPr>
            <w:tcW w:w="1949" w:type="dxa"/>
            <w:shd w:val="clear" w:color="auto" w:fill="92D050"/>
            <w:tcMar>
              <w:left w:w="57" w:type="dxa"/>
              <w:right w:w="57" w:type="dxa"/>
            </w:tcMar>
            <w:vAlign w:val="center"/>
          </w:tcPr>
          <w:p w14:paraId="70A7EE18" w14:textId="5740A6E5" w:rsidR="000B7B9A" w:rsidRPr="007B6C8F" w:rsidRDefault="000B7B9A" w:rsidP="000B7B9A">
            <w:pPr>
              <w:overflowPunct/>
              <w:autoSpaceDE/>
              <w:autoSpaceDN/>
              <w:adjustRightInd/>
              <w:spacing w:after="0"/>
              <w:jc w:val="center"/>
              <w:textAlignment w:val="auto"/>
              <w:rPr>
                <w:lang w:eastAsia="zh-CN"/>
              </w:rPr>
            </w:pPr>
            <w:r w:rsidRPr="007B6C8F">
              <w:rPr>
                <w:lang w:eastAsia="zh-CN"/>
              </w:rPr>
              <w:t>20-</w:t>
            </w:r>
            <w:r w:rsidRPr="007B6C8F">
              <w:rPr>
                <w:shd w:val="clear" w:color="auto" w:fill="92D050"/>
                <w:lang w:eastAsia="zh-CN"/>
              </w:rPr>
              <w:t>30% of blocks punctured from remaining 5 interlaces</w:t>
            </w:r>
          </w:p>
        </w:tc>
      </w:tr>
    </w:tbl>
    <w:p w14:paraId="649F2DE8" w14:textId="3A0FB6EA" w:rsidR="00B07334" w:rsidRDefault="00B07334" w:rsidP="00993CD5">
      <w:pPr>
        <w:overflowPunct/>
        <w:autoSpaceDE/>
        <w:autoSpaceDN/>
        <w:adjustRightInd/>
        <w:spacing w:after="0"/>
        <w:textAlignment w:val="auto"/>
        <w:rPr>
          <w:lang w:eastAsia="zh-CN"/>
        </w:rPr>
      </w:pPr>
    </w:p>
    <w:p w14:paraId="7B9E0CE0" w14:textId="77777777" w:rsidR="001F2430" w:rsidRDefault="001F2430" w:rsidP="00564EAF">
      <w:pPr>
        <w:pStyle w:val="ListParagraph"/>
        <w:spacing w:before="120"/>
        <w:ind w:left="0"/>
        <w:jc w:val="both"/>
        <w:rPr>
          <w:sz w:val="20"/>
          <w:lang w:val="en-GB"/>
        </w:rPr>
      </w:pPr>
      <w:r w:rsidRPr="001F2430">
        <w:rPr>
          <w:sz w:val="20"/>
          <w:lang w:val="en-GB"/>
        </w:rPr>
        <w:t xml:space="preserve">From the </w:t>
      </w:r>
      <w:r>
        <w:rPr>
          <w:sz w:val="20"/>
          <w:lang w:val="en-GB"/>
        </w:rPr>
        <w:t>comparison, it can be seen that:</w:t>
      </w:r>
    </w:p>
    <w:p w14:paraId="2C4A8D00" w14:textId="10619DBD" w:rsidR="007A43EC" w:rsidRDefault="001F2430" w:rsidP="001F2430">
      <w:pPr>
        <w:pStyle w:val="ListParagraph"/>
        <w:numPr>
          <w:ilvl w:val="0"/>
          <w:numId w:val="71"/>
        </w:numPr>
        <w:jc w:val="both"/>
        <w:rPr>
          <w:sz w:val="20"/>
          <w:lang w:val="en-GB"/>
        </w:rPr>
      </w:pPr>
      <w:r>
        <w:rPr>
          <w:sz w:val="20"/>
          <w:lang w:val="en-GB"/>
        </w:rPr>
        <w:t>B-IFDM as well as TinB-IFDM suffer from low number of available PRACH preambles. This present a significant challenge for reliable PRACH detection, as with too close reuse of preambles, the preambles transmitted to a nearby cell can cause false detections. The challenge is severe as NR-U design should support also non-coordinated</w:t>
      </w:r>
      <w:r w:rsidR="007A43EC">
        <w:rPr>
          <w:sz w:val="20"/>
          <w:lang w:val="en-GB"/>
        </w:rPr>
        <w:t>, partially overlapping NR-U deployments by different operators. The challenge is present also with IFDM option, although less severe as the capacity is almost aligned with the number of NR DMRS sequence groups.</w:t>
      </w:r>
    </w:p>
    <w:p w14:paraId="4483DF59" w14:textId="117CC1B4" w:rsidR="007A43EC" w:rsidRDefault="007A43EC" w:rsidP="001F2430">
      <w:pPr>
        <w:pStyle w:val="ListParagraph"/>
        <w:numPr>
          <w:ilvl w:val="0"/>
          <w:numId w:val="71"/>
        </w:numPr>
        <w:jc w:val="both"/>
        <w:rPr>
          <w:sz w:val="20"/>
          <w:lang w:val="en-GB"/>
        </w:rPr>
      </w:pPr>
      <w:r>
        <w:rPr>
          <w:sz w:val="20"/>
          <w:lang w:val="en-GB"/>
        </w:rPr>
        <w:t>TinB-IFDM and B-IFDM have also high overhead – twice the overhead of frequency continuous Rel15 PRACH.</w:t>
      </w:r>
    </w:p>
    <w:p w14:paraId="6AB0DD44" w14:textId="77777777" w:rsidR="0001733A" w:rsidRDefault="007A43EC" w:rsidP="001F2430">
      <w:pPr>
        <w:pStyle w:val="ListParagraph"/>
        <w:numPr>
          <w:ilvl w:val="0"/>
          <w:numId w:val="71"/>
        </w:numPr>
        <w:jc w:val="both"/>
        <w:rPr>
          <w:sz w:val="20"/>
          <w:lang w:val="en-GB"/>
        </w:rPr>
      </w:pPr>
      <w:r w:rsidRPr="003E7F61">
        <w:rPr>
          <w:sz w:val="20"/>
          <w:lang w:val="en-GB"/>
        </w:rPr>
        <w:t>The frequency continuous PRACH (in gNB acquired COT) has lower maximum Tx power than the other alternatives. Obviously, the maximum path loss of PRACH needs to be reasonably aligned with other NR-U channels, and we address this aspect in the following paragraphs</w:t>
      </w:r>
      <w:r>
        <w:rPr>
          <w:sz w:val="20"/>
          <w:lang w:val="en-GB"/>
        </w:rPr>
        <w:t xml:space="preserve">. Further, if necessary, the lower Tx power can be compensated for with longer PRACH duration – especially as the frequency continuous PRACH occupies only half of PRBs of B-IFDM or TinB-IFDM PRACH. </w:t>
      </w:r>
    </w:p>
    <w:p w14:paraId="7033A03F" w14:textId="34C5BEA6" w:rsidR="001F2430" w:rsidRPr="00564EAF" w:rsidRDefault="0001733A" w:rsidP="00564EAF">
      <w:pPr>
        <w:pStyle w:val="ListParagraph"/>
        <w:numPr>
          <w:ilvl w:val="0"/>
          <w:numId w:val="71"/>
        </w:numPr>
        <w:spacing w:after="120"/>
        <w:ind w:left="816" w:hanging="357"/>
        <w:jc w:val="both"/>
        <w:rPr>
          <w:sz w:val="20"/>
          <w:szCs w:val="20"/>
          <w:lang w:val="en-GB"/>
        </w:rPr>
      </w:pPr>
      <w:r w:rsidRPr="004E4414">
        <w:rPr>
          <w:sz w:val="20"/>
          <w:szCs w:val="20"/>
          <w:lang w:val="en-GB"/>
        </w:rPr>
        <w:t xml:space="preserve">When considering multiplexing with PUSCH, </w:t>
      </w:r>
      <w:r w:rsidR="005D01C9" w:rsidRPr="004E4414">
        <w:rPr>
          <w:sz w:val="20"/>
          <w:szCs w:val="20"/>
          <w:lang w:val="en-GB"/>
        </w:rPr>
        <w:t>it can be noted that all proposals lead to PUSCH puncturing (except frequency continuous PRACH in case of continuous PUSCH allocation)</w:t>
      </w:r>
      <w:r w:rsidRPr="004E4414">
        <w:rPr>
          <w:sz w:val="20"/>
          <w:szCs w:val="20"/>
          <w:lang w:val="en-GB"/>
        </w:rPr>
        <w:t>. Both B-IFDM and TinB-IFDM puncture both continuous PUSCH and B-IFDM PUSCH allocation. In the case of TinB-IFDM, ~50% of PUSCH PRBs are punctured when odd number of interlaces is used for PUSCH. IFDM PRACH on other hand punctures resources on every PRB.</w:t>
      </w:r>
      <w:r w:rsidR="007A43EC" w:rsidRPr="004E4414">
        <w:rPr>
          <w:sz w:val="20"/>
          <w:szCs w:val="20"/>
          <w:lang w:val="en-GB"/>
        </w:rPr>
        <w:t xml:space="preserve"> </w:t>
      </w:r>
      <w:r w:rsidR="001F2430" w:rsidRPr="004E4414">
        <w:rPr>
          <w:sz w:val="20"/>
          <w:szCs w:val="20"/>
          <w:lang w:val="en-GB"/>
        </w:rPr>
        <w:t xml:space="preserve">  </w:t>
      </w:r>
    </w:p>
    <w:p w14:paraId="30DF9308" w14:textId="5CBB044A" w:rsidR="0001733A" w:rsidRPr="004E4414" w:rsidRDefault="0001733A" w:rsidP="0001733A">
      <w:pPr>
        <w:overflowPunct/>
        <w:autoSpaceDE/>
        <w:autoSpaceDN/>
        <w:adjustRightInd/>
        <w:spacing w:after="0"/>
        <w:jc w:val="both"/>
        <w:textAlignment w:val="auto"/>
      </w:pPr>
      <w:r w:rsidRPr="004E4414">
        <w:rPr>
          <w:lang w:eastAsia="zh-CN"/>
        </w:rPr>
        <w:t>It is also worth to consider the s</w:t>
      </w:r>
      <w:r w:rsidR="00A5266E" w:rsidRPr="004E4414">
        <w:rPr>
          <w:lang w:eastAsia="zh-CN"/>
        </w:rPr>
        <w:t xml:space="preserve">upported cell range. </w:t>
      </w:r>
      <w:r w:rsidRPr="004E4414">
        <w:rPr>
          <w:lang w:eastAsia="zh-CN"/>
        </w:rPr>
        <w:t>In above comparison</w:t>
      </w:r>
      <w:r w:rsidR="00A5266E" w:rsidRPr="004E4414">
        <w:t>, 115 m cell range corresponding to 200 m ISD is just an example</w:t>
      </w:r>
      <w:r w:rsidRPr="004E4414">
        <w:t>, and somewhat larger cell ranges may be supported. What happens to PRACH capacity if</w:t>
      </w:r>
      <w:r w:rsidR="00A5266E" w:rsidRPr="004E4414">
        <w:t xml:space="preserve"> the ISD </w:t>
      </w:r>
      <w:r w:rsidRPr="004E4414">
        <w:t>is increas</w:t>
      </w:r>
      <w:r w:rsidR="00A5266E" w:rsidRPr="004E4414">
        <w:t xml:space="preserve">ed e.g. </w:t>
      </w:r>
      <w:r w:rsidRPr="004E4414">
        <w:t xml:space="preserve">to </w:t>
      </w:r>
      <w:r w:rsidR="00A5266E" w:rsidRPr="004E4414">
        <w:t>400 m</w:t>
      </w:r>
      <w:r w:rsidRPr="004E4414">
        <w:t xml:space="preserve">? </w:t>
      </w:r>
    </w:p>
    <w:p w14:paraId="5D6D1D11" w14:textId="6DD9B9C5" w:rsidR="0001733A" w:rsidRPr="004E4414" w:rsidRDefault="0001733A" w:rsidP="0001733A">
      <w:pPr>
        <w:pStyle w:val="ListParagraph"/>
        <w:numPr>
          <w:ilvl w:val="0"/>
          <w:numId w:val="70"/>
        </w:numPr>
        <w:jc w:val="both"/>
        <w:rPr>
          <w:b/>
          <w:sz w:val="20"/>
          <w:szCs w:val="20"/>
          <w:lang w:val="en-GB"/>
        </w:rPr>
      </w:pPr>
      <w:r w:rsidRPr="004E4414">
        <w:rPr>
          <w:b/>
          <w:sz w:val="20"/>
          <w:szCs w:val="20"/>
          <w:lang w:val="en-GB"/>
        </w:rPr>
        <w:t xml:space="preserve">IFDM: </w:t>
      </w:r>
      <w:r w:rsidR="00074BE9" w:rsidRPr="004E4414">
        <w:rPr>
          <w:sz w:val="20"/>
          <w:szCs w:val="20"/>
          <w:lang w:val="en-GB"/>
        </w:rPr>
        <w:t xml:space="preserve">cyclic shift multiplexing is reduced from 3 to 2, reducing the PRACH capacity. Correspondingly, the number of supported cells is reduced to 18, emphasising the challenge of limited PRACH capacity.  </w:t>
      </w:r>
      <w:r w:rsidRPr="004E4414">
        <w:rPr>
          <w:sz w:val="20"/>
          <w:szCs w:val="20"/>
          <w:lang w:val="en-GB"/>
        </w:rPr>
        <w:t xml:space="preserve"> </w:t>
      </w:r>
    </w:p>
    <w:p w14:paraId="2058944D" w14:textId="77777777" w:rsidR="00074BE9" w:rsidRPr="004E4414" w:rsidRDefault="0001733A" w:rsidP="00074BE9">
      <w:pPr>
        <w:pStyle w:val="ListParagraph"/>
        <w:numPr>
          <w:ilvl w:val="0"/>
          <w:numId w:val="70"/>
        </w:numPr>
        <w:jc w:val="both"/>
        <w:rPr>
          <w:sz w:val="20"/>
          <w:szCs w:val="20"/>
          <w:lang w:val="en-GB"/>
        </w:rPr>
      </w:pPr>
      <w:r w:rsidRPr="004E4414">
        <w:rPr>
          <w:b/>
          <w:sz w:val="20"/>
          <w:szCs w:val="20"/>
          <w:lang w:val="en-GB"/>
        </w:rPr>
        <w:t>B-IFDM</w:t>
      </w:r>
      <w:r w:rsidR="00074BE9" w:rsidRPr="004E4414">
        <w:rPr>
          <w:b/>
          <w:sz w:val="20"/>
          <w:szCs w:val="20"/>
          <w:lang w:val="en-GB"/>
        </w:rPr>
        <w:t xml:space="preserve">: </w:t>
      </w:r>
      <w:r w:rsidR="00074BE9" w:rsidRPr="004E4414">
        <w:rPr>
          <w:sz w:val="20"/>
          <w:szCs w:val="20"/>
          <w:lang w:val="en-GB"/>
        </w:rPr>
        <w:t>not affected.</w:t>
      </w:r>
    </w:p>
    <w:p w14:paraId="27788980" w14:textId="159ABA81" w:rsidR="00074BE9" w:rsidRPr="004E4414" w:rsidRDefault="0001733A" w:rsidP="00074BE9">
      <w:pPr>
        <w:pStyle w:val="ListParagraph"/>
        <w:numPr>
          <w:ilvl w:val="0"/>
          <w:numId w:val="70"/>
        </w:numPr>
        <w:jc w:val="both"/>
        <w:rPr>
          <w:b/>
          <w:sz w:val="20"/>
          <w:szCs w:val="20"/>
          <w:lang w:val="en-GB"/>
        </w:rPr>
      </w:pPr>
      <w:r w:rsidRPr="004E4414">
        <w:rPr>
          <w:b/>
          <w:sz w:val="20"/>
          <w:szCs w:val="20"/>
          <w:lang w:val="en-GB"/>
        </w:rPr>
        <w:t xml:space="preserve">TinB-IFDM: </w:t>
      </w:r>
      <w:r w:rsidR="00074BE9" w:rsidRPr="004E4414">
        <w:rPr>
          <w:sz w:val="20"/>
          <w:szCs w:val="20"/>
          <w:lang w:val="en-GB"/>
        </w:rPr>
        <w:t xml:space="preserve">Even in the example design considered for </w:t>
      </w:r>
      <w:r w:rsidR="000D6E55">
        <w:rPr>
          <w:sz w:val="20"/>
          <w:szCs w:val="20"/>
          <w:lang w:val="en-GB"/>
        </w:rPr>
        <w:t>T</w:t>
      </w:r>
      <w:r w:rsidR="00074BE9" w:rsidRPr="004E4414">
        <w:rPr>
          <w:sz w:val="20"/>
          <w:szCs w:val="20"/>
          <w:lang w:val="en-GB"/>
        </w:rPr>
        <w:t>able</w:t>
      </w:r>
      <w:r w:rsidR="000D6E55">
        <w:rPr>
          <w:sz w:val="20"/>
          <w:szCs w:val="20"/>
          <w:lang w:val="en-GB"/>
        </w:rPr>
        <w:t xml:space="preserve"> 2</w:t>
      </w:r>
      <w:r w:rsidR="00074BE9" w:rsidRPr="004E4414">
        <w:rPr>
          <w:sz w:val="20"/>
          <w:szCs w:val="20"/>
          <w:lang w:val="en-GB"/>
        </w:rPr>
        <w:t xml:space="preserve">, the block spacing is 0.72 MHz which is too much for </w:t>
      </w:r>
      <w:r w:rsidR="000D6E55">
        <w:rPr>
          <w:sz w:val="20"/>
          <w:szCs w:val="20"/>
          <w:lang w:val="en-GB"/>
        </w:rPr>
        <w:t xml:space="preserve">a </w:t>
      </w:r>
      <w:r w:rsidR="00074BE9" w:rsidRPr="004E4414">
        <w:rPr>
          <w:sz w:val="20"/>
          <w:szCs w:val="20"/>
          <w:lang w:val="en-GB"/>
        </w:rPr>
        <w:t xml:space="preserve">115 m cell range. The TinB-IFDM design considered for the table can support only 75 m cell range. If a larger cell range is supported, PRACH sequence should be mapped to subcarriers on every PRB. TinB-IFDM can be seen to have challenges to support sufficient cell ranges.   </w:t>
      </w:r>
    </w:p>
    <w:p w14:paraId="0DA065C6" w14:textId="7E833DE2" w:rsidR="0001733A" w:rsidRPr="00564EAF" w:rsidRDefault="0001733A" w:rsidP="00564EAF">
      <w:pPr>
        <w:pStyle w:val="ListParagraph"/>
        <w:numPr>
          <w:ilvl w:val="0"/>
          <w:numId w:val="70"/>
        </w:numPr>
        <w:spacing w:after="180"/>
        <w:jc w:val="both"/>
        <w:rPr>
          <w:sz w:val="20"/>
          <w:szCs w:val="20"/>
          <w:lang w:val="en-GB"/>
        </w:rPr>
      </w:pPr>
      <w:r w:rsidRPr="004E4414">
        <w:rPr>
          <w:b/>
          <w:sz w:val="20"/>
          <w:szCs w:val="20"/>
          <w:lang w:val="en-GB"/>
        </w:rPr>
        <w:t>Frequency continuous</w:t>
      </w:r>
      <w:r w:rsidR="00CB3CFC" w:rsidRPr="004E4414">
        <w:rPr>
          <w:b/>
          <w:sz w:val="20"/>
          <w:szCs w:val="20"/>
          <w:lang w:val="en-GB"/>
        </w:rPr>
        <w:t xml:space="preserve"> PRACH</w:t>
      </w:r>
      <w:r w:rsidRPr="004E4414">
        <w:rPr>
          <w:b/>
          <w:sz w:val="20"/>
          <w:szCs w:val="20"/>
          <w:lang w:val="en-GB"/>
        </w:rPr>
        <w:t xml:space="preserve">: </w:t>
      </w:r>
      <w:r w:rsidR="00CB3CFC" w:rsidRPr="004E4414">
        <w:rPr>
          <w:sz w:val="20"/>
          <w:szCs w:val="20"/>
          <w:lang w:val="en-GB"/>
        </w:rPr>
        <w:t>The cyclic shift multiplexing is reduced to 11 preambles. However, there remains enough PRACH capacity</w:t>
      </w:r>
      <w:r w:rsidR="006E4235" w:rsidRPr="004E4414">
        <w:rPr>
          <w:sz w:val="20"/>
          <w:szCs w:val="20"/>
          <w:lang w:val="en-GB"/>
        </w:rPr>
        <w:t xml:space="preserve"> corresponding up to</w:t>
      </w:r>
      <w:r w:rsidR="00CB3CFC" w:rsidRPr="004E4414">
        <w:rPr>
          <w:sz w:val="20"/>
          <w:szCs w:val="20"/>
          <w:lang w:val="en-GB"/>
        </w:rPr>
        <w:t xml:space="preserve"> 92 cells.  </w:t>
      </w:r>
    </w:p>
    <w:p w14:paraId="5279C9E2" w14:textId="6BF1A893" w:rsidR="005D01C9" w:rsidRPr="004E4414" w:rsidRDefault="005D01C9" w:rsidP="00564EAF">
      <w:pPr>
        <w:overflowPunct/>
        <w:autoSpaceDE/>
        <w:autoSpaceDN/>
        <w:adjustRightInd/>
        <w:jc w:val="both"/>
        <w:textAlignment w:val="auto"/>
        <w:rPr>
          <w:i/>
          <w:iCs/>
          <w:lang w:eastAsia="zh-CN"/>
        </w:rPr>
      </w:pPr>
      <w:r w:rsidRPr="004E4414">
        <w:rPr>
          <w:b/>
          <w:bCs/>
          <w:i/>
          <w:iCs/>
          <w:lang w:eastAsia="zh-CN"/>
        </w:rPr>
        <w:t xml:space="preserve">Observation </w:t>
      </w:r>
      <w:r w:rsidR="00564EAF">
        <w:rPr>
          <w:b/>
          <w:bCs/>
          <w:i/>
          <w:iCs/>
          <w:lang w:eastAsia="zh-CN"/>
        </w:rPr>
        <w:t>11</w:t>
      </w:r>
      <w:r w:rsidRPr="004E4414">
        <w:rPr>
          <w:b/>
          <w:bCs/>
          <w:i/>
          <w:iCs/>
          <w:lang w:eastAsia="zh-CN"/>
        </w:rPr>
        <w:t xml:space="preserve">: </w:t>
      </w:r>
      <w:r w:rsidRPr="004E4414">
        <w:rPr>
          <w:bCs/>
          <w:i/>
          <w:iCs/>
          <w:lang w:eastAsia="zh-CN"/>
        </w:rPr>
        <w:t>B-IFDM</w:t>
      </w:r>
      <w:r w:rsidR="00C917F8" w:rsidRPr="004E4414">
        <w:rPr>
          <w:bCs/>
          <w:i/>
          <w:iCs/>
          <w:lang w:eastAsia="zh-CN"/>
        </w:rPr>
        <w:t xml:space="preserve"> with non-uniform block spacing</w:t>
      </w:r>
      <w:r w:rsidRPr="004E4414">
        <w:rPr>
          <w:bCs/>
          <w:i/>
          <w:iCs/>
          <w:lang w:eastAsia="zh-CN"/>
        </w:rPr>
        <w:t xml:space="preserve"> and TinB-IFDM based </w:t>
      </w:r>
      <w:r w:rsidRPr="004E4414">
        <w:rPr>
          <w:i/>
          <w:iCs/>
          <w:lang w:eastAsia="zh-CN"/>
        </w:rPr>
        <w:t>NR-U PRACH designs support insufficient number of PRACH preambles and occupy a high number of PRBs.</w:t>
      </w:r>
    </w:p>
    <w:p w14:paraId="520D5924" w14:textId="30DCF4B5" w:rsidR="005D01C9" w:rsidRPr="00564EAF" w:rsidRDefault="005D01C9" w:rsidP="00564EAF">
      <w:pPr>
        <w:overflowPunct/>
        <w:autoSpaceDE/>
        <w:autoSpaceDN/>
        <w:adjustRightInd/>
        <w:textAlignment w:val="auto"/>
        <w:rPr>
          <w:rFonts w:eastAsia="Times New Roman"/>
          <w:i/>
          <w:iCs/>
        </w:rPr>
      </w:pPr>
      <w:r w:rsidRPr="004E4414">
        <w:rPr>
          <w:b/>
          <w:bCs/>
          <w:i/>
          <w:iCs/>
          <w:lang w:eastAsia="zh-CN"/>
        </w:rPr>
        <w:t xml:space="preserve">Observation </w:t>
      </w:r>
      <w:r w:rsidR="00564EAF">
        <w:rPr>
          <w:b/>
          <w:bCs/>
          <w:i/>
          <w:iCs/>
          <w:lang w:eastAsia="zh-CN"/>
        </w:rPr>
        <w:t>12</w:t>
      </w:r>
      <w:r w:rsidRPr="004E4414">
        <w:rPr>
          <w:b/>
          <w:bCs/>
          <w:i/>
          <w:iCs/>
          <w:lang w:eastAsia="zh-CN"/>
        </w:rPr>
        <w:t xml:space="preserve">: </w:t>
      </w:r>
      <w:r w:rsidRPr="004E4414">
        <w:rPr>
          <w:bCs/>
          <w:i/>
          <w:iCs/>
          <w:lang w:eastAsia="zh-CN"/>
        </w:rPr>
        <w:t>TinB-IFDM</w:t>
      </w:r>
      <w:r w:rsidRPr="004E4414">
        <w:rPr>
          <w:b/>
          <w:bCs/>
          <w:i/>
          <w:iCs/>
          <w:lang w:eastAsia="zh-CN"/>
        </w:rPr>
        <w:t xml:space="preserve"> </w:t>
      </w:r>
      <w:r w:rsidRPr="004E4414">
        <w:rPr>
          <w:bCs/>
          <w:i/>
          <w:iCs/>
          <w:lang w:eastAsia="zh-CN"/>
        </w:rPr>
        <w:t xml:space="preserve">based </w:t>
      </w:r>
      <w:r w:rsidRPr="004E4414">
        <w:rPr>
          <w:i/>
          <w:iCs/>
          <w:lang w:eastAsia="zh-CN"/>
        </w:rPr>
        <w:t>NR-U PRACH design</w:t>
      </w:r>
      <w:r w:rsidR="00C917F8" w:rsidRPr="004E4414">
        <w:rPr>
          <w:i/>
          <w:iCs/>
          <w:lang w:eastAsia="zh-CN"/>
        </w:rPr>
        <w:t xml:space="preserve"> cannot easily support sufficient cell range</w:t>
      </w:r>
      <w:r w:rsidR="000D6E55">
        <w:rPr>
          <w:i/>
          <w:iCs/>
          <w:lang w:eastAsia="zh-CN"/>
        </w:rPr>
        <w:t xml:space="preserve"> for 30 kHz SCS</w:t>
      </w:r>
      <w:r w:rsidR="00C917F8" w:rsidRPr="004E4414">
        <w:rPr>
          <w:i/>
          <w:iCs/>
          <w:lang w:eastAsia="zh-CN"/>
        </w:rPr>
        <w:t>.</w:t>
      </w:r>
    </w:p>
    <w:p w14:paraId="0CE53780" w14:textId="414B8274" w:rsidR="003E235E" w:rsidRDefault="003E235E" w:rsidP="00564EAF">
      <w:pPr>
        <w:jc w:val="both"/>
        <w:rPr>
          <w:iCs/>
          <w:lang w:eastAsia="zh-CN"/>
        </w:rPr>
      </w:pPr>
      <w:r w:rsidRPr="00921786">
        <w:rPr>
          <w:iCs/>
          <w:lang w:eastAsia="zh-CN"/>
        </w:rPr>
        <w:t xml:space="preserve">In </w:t>
      </w:r>
      <w:r w:rsidR="00B731CC">
        <w:rPr>
          <w:iCs/>
          <w:lang w:eastAsia="zh-CN"/>
        </w:rPr>
        <w:t xml:space="preserve">[9, Appendix A] we </w:t>
      </w:r>
      <w:r w:rsidR="00E47506">
        <w:rPr>
          <w:iCs/>
          <w:lang w:eastAsia="zh-CN"/>
        </w:rPr>
        <w:t xml:space="preserve">provide link budget analysis for the NR-PSS/SSS, NR-PBCH, and NR PRACH formats A1 (targeted to small cells) and A2 that are contiguous </w:t>
      </w:r>
      <w:r w:rsidR="0023284E">
        <w:rPr>
          <w:iCs/>
          <w:lang w:eastAsia="zh-CN"/>
        </w:rPr>
        <w:t>in frequency</w:t>
      </w:r>
      <w:r w:rsidR="00E47506">
        <w:rPr>
          <w:iCs/>
          <w:lang w:eastAsia="zh-CN"/>
        </w:rPr>
        <w:t xml:space="preserve">. Based on the analysis in [9], </w:t>
      </w:r>
      <w:r w:rsidR="0023284E">
        <w:rPr>
          <w:iCs/>
          <w:lang w:eastAsia="zh-CN"/>
        </w:rPr>
        <w:fldChar w:fldCharType="begin"/>
      </w:r>
      <w:r w:rsidR="0023284E">
        <w:rPr>
          <w:iCs/>
          <w:lang w:eastAsia="zh-CN"/>
        </w:rPr>
        <w:instrText xml:space="preserve"> REF _Ref525245965 \h </w:instrText>
      </w:r>
      <w:r w:rsidR="0023284E">
        <w:rPr>
          <w:iCs/>
          <w:lang w:eastAsia="zh-CN"/>
        </w:rPr>
      </w:r>
      <w:r w:rsidR="0023284E">
        <w:rPr>
          <w:iCs/>
          <w:lang w:eastAsia="zh-CN"/>
        </w:rPr>
        <w:fldChar w:fldCharType="separate"/>
      </w:r>
      <w:r w:rsidR="0023284E">
        <w:t xml:space="preserve">Table </w:t>
      </w:r>
      <w:r w:rsidR="0023284E">
        <w:rPr>
          <w:noProof/>
        </w:rPr>
        <w:t>3</w:t>
      </w:r>
      <w:r w:rsidR="0023284E">
        <w:rPr>
          <w:iCs/>
          <w:lang w:eastAsia="zh-CN"/>
        </w:rPr>
        <w:fldChar w:fldCharType="end"/>
      </w:r>
      <w:r w:rsidR="0023284E">
        <w:rPr>
          <w:iCs/>
          <w:lang w:eastAsia="zh-CN"/>
        </w:rPr>
        <w:t xml:space="preserve"> provides the comparison of the MCLs for NR PRACH format A1 and A2 against NR-PSS/NR-SSS and NR-PBCH for 15 and 30 kHz SCSs. </w:t>
      </w:r>
      <w:r w:rsidR="000F33CC">
        <w:rPr>
          <w:iCs/>
          <w:lang w:eastAsia="zh-CN"/>
        </w:rPr>
        <w:t xml:space="preserve">In the table, 13 dBm and 16 dBm Tx power are assumed for NR PRACH with 15 kHz and 30 kHz SCS, respectively. These correspond to 10 dBm/MHz PSD constraint. </w:t>
      </w:r>
      <w:r w:rsidR="0023284E">
        <w:rPr>
          <w:iCs/>
          <w:lang w:eastAsia="zh-CN"/>
        </w:rPr>
        <w:t>It can be observed</w:t>
      </w:r>
      <w:r w:rsidR="0023284E" w:rsidRPr="00E04FF4">
        <w:t xml:space="preserve"> that NR-PSS/NR-SSS and NR-PBCH in NR-U are having roughly 8-9 dB and 11-12 dB worse </w:t>
      </w:r>
      <w:r w:rsidR="0023284E">
        <w:t>MCL</w:t>
      </w:r>
      <w:r w:rsidR="0023284E" w:rsidRPr="00E04FF4">
        <w:t xml:space="preserve"> than PRACH format A1 and A2, respectively.</w:t>
      </w:r>
      <w:r w:rsidR="00CE4863">
        <w:t xml:space="preserve"> Hence, frequency continuous PRACH format provides sufficient coverage for NR-U even with the constrained Tx power. Additionally, the coverage can be improved, if necessary, simply by increasing the PRACH duration.</w:t>
      </w:r>
    </w:p>
    <w:p w14:paraId="10E83998" w14:textId="2B93C958" w:rsidR="00E47506" w:rsidRPr="0042697B" w:rsidRDefault="00E47506" w:rsidP="00564EAF">
      <w:pPr>
        <w:pStyle w:val="Caption"/>
        <w:jc w:val="center"/>
        <w:rPr>
          <w:lang w:val="en-US"/>
        </w:rPr>
      </w:pPr>
      <w:bookmarkStart w:id="2" w:name="_Ref525245965"/>
      <w:r>
        <w:t xml:space="preserve">Table </w:t>
      </w:r>
      <w:r>
        <w:fldChar w:fldCharType="begin"/>
      </w:r>
      <w:r>
        <w:instrText xml:space="preserve"> SEQ Table \* ARABIC </w:instrText>
      </w:r>
      <w:r>
        <w:fldChar w:fldCharType="separate"/>
      </w:r>
      <w:r w:rsidR="0023284E">
        <w:rPr>
          <w:noProof/>
        </w:rPr>
        <w:t>3</w:t>
      </w:r>
      <w:r>
        <w:rPr>
          <w:noProof/>
        </w:rPr>
        <w:fldChar w:fldCharType="end"/>
      </w:r>
      <w:bookmarkEnd w:id="2"/>
      <w:r w:rsidRPr="0042697B">
        <w:rPr>
          <w:lang w:val="en-US"/>
        </w:rPr>
        <w:t xml:space="preserve"> </w:t>
      </w:r>
      <w:r>
        <w:rPr>
          <w:lang w:val="en-US"/>
        </w:rPr>
        <w:t>MCLs</w:t>
      </w:r>
      <w:r w:rsidRPr="0042697B">
        <w:rPr>
          <w:lang w:val="en-US"/>
        </w:rPr>
        <w:t xml:space="preserve"> [dB]</w:t>
      </w:r>
      <w:r>
        <w:rPr>
          <w:lang w:val="en-US"/>
        </w:rPr>
        <w:t xml:space="preserve"> for the joint NR-PSS/NR-SSS detection, NR-PBCH detection and PRACH formats A1 and A2. In parenthesis the difference in MCL compared to PRACH format A1 </w:t>
      </w:r>
      <w:r w:rsidR="0023284E">
        <w:rPr>
          <w:lang w:val="en-US"/>
        </w:rPr>
        <w:t>is shown</w:t>
      </w:r>
      <w:r>
        <w:rPr>
          <w:lang w:val="en-US"/>
        </w:rPr>
        <w:t xml:space="preserve"> </w:t>
      </w:r>
      <w:r w:rsidR="0023284E">
        <w:rPr>
          <w:lang w:val="en-US"/>
        </w:rPr>
        <w:t>[9]</w:t>
      </w:r>
    </w:p>
    <w:tbl>
      <w:tblPr>
        <w:tblStyle w:val="TableGrid"/>
        <w:tblW w:w="0" w:type="auto"/>
        <w:jc w:val="center"/>
        <w:tblLook w:val="04A0" w:firstRow="1" w:lastRow="0" w:firstColumn="1" w:lastColumn="0" w:noHBand="0" w:noVBand="1"/>
      </w:tblPr>
      <w:tblGrid>
        <w:gridCol w:w="2407"/>
        <w:gridCol w:w="2407"/>
        <w:gridCol w:w="2407"/>
      </w:tblGrid>
      <w:tr w:rsidR="00E47506" w14:paraId="1E235C42" w14:textId="77777777" w:rsidTr="00564EAF">
        <w:trPr>
          <w:jc w:val="center"/>
        </w:trPr>
        <w:tc>
          <w:tcPr>
            <w:tcW w:w="2407" w:type="dxa"/>
            <w:shd w:val="clear" w:color="auto" w:fill="A6A6A6" w:themeFill="background1" w:themeFillShade="A6"/>
          </w:tcPr>
          <w:p w14:paraId="37F6481F" w14:textId="77777777" w:rsidR="00E47506" w:rsidRPr="00E04FF4" w:rsidRDefault="00E47506" w:rsidP="00EE296F">
            <w:pPr>
              <w:jc w:val="both"/>
            </w:pPr>
            <w:bookmarkStart w:id="3" w:name="_Hlk525652319"/>
          </w:p>
        </w:tc>
        <w:tc>
          <w:tcPr>
            <w:tcW w:w="2407" w:type="dxa"/>
            <w:shd w:val="clear" w:color="auto" w:fill="A6A6A6" w:themeFill="background1" w:themeFillShade="A6"/>
          </w:tcPr>
          <w:p w14:paraId="7E39A72C" w14:textId="77777777" w:rsidR="00E47506" w:rsidRPr="00E04FF4" w:rsidRDefault="00E47506" w:rsidP="00EE296F">
            <w:pPr>
              <w:jc w:val="center"/>
              <w:rPr>
                <w:b/>
              </w:rPr>
            </w:pPr>
            <w:r w:rsidRPr="00E04FF4">
              <w:rPr>
                <w:b/>
              </w:rPr>
              <w:t>15 kHz SCS</w:t>
            </w:r>
          </w:p>
        </w:tc>
        <w:tc>
          <w:tcPr>
            <w:tcW w:w="2407" w:type="dxa"/>
            <w:shd w:val="clear" w:color="auto" w:fill="A6A6A6" w:themeFill="background1" w:themeFillShade="A6"/>
          </w:tcPr>
          <w:p w14:paraId="04CF41FE" w14:textId="77777777" w:rsidR="00E47506" w:rsidRPr="00E04FF4" w:rsidRDefault="00E47506" w:rsidP="00EE296F">
            <w:pPr>
              <w:jc w:val="center"/>
              <w:rPr>
                <w:b/>
              </w:rPr>
            </w:pPr>
            <w:r w:rsidRPr="00E04FF4">
              <w:rPr>
                <w:b/>
              </w:rPr>
              <w:t>30 kHz SCS</w:t>
            </w:r>
          </w:p>
        </w:tc>
      </w:tr>
      <w:tr w:rsidR="00E47506" w14:paraId="6171114E" w14:textId="77777777" w:rsidTr="00564EAF">
        <w:trPr>
          <w:jc w:val="center"/>
        </w:trPr>
        <w:tc>
          <w:tcPr>
            <w:tcW w:w="2407" w:type="dxa"/>
          </w:tcPr>
          <w:p w14:paraId="4D96FF2E" w14:textId="77777777" w:rsidR="00E47506" w:rsidRDefault="00E47506" w:rsidP="00EE296F">
            <w:pPr>
              <w:jc w:val="both"/>
            </w:pPr>
            <w:r>
              <w:t>NR-PSS/NR-SSS</w:t>
            </w:r>
          </w:p>
        </w:tc>
        <w:tc>
          <w:tcPr>
            <w:tcW w:w="2407" w:type="dxa"/>
          </w:tcPr>
          <w:p w14:paraId="34C8722F" w14:textId="77777777" w:rsidR="00E47506" w:rsidRDefault="00E47506" w:rsidP="00EE296F">
            <w:pPr>
              <w:jc w:val="center"/>
            </w:pPr>
            <w:r>
              <w:t>115 dB (-9.0)</w:t>
            </w:r>
          </w:p>
        </w:tc>
        <w:tc>
          <w:tcPr>
            <w:tcW w:w="2407" w:type="dxa"/>
          </w:tcPr>
          <w:p w14:paraId="08D15330" w14:textId="77777777" w:rsidR="00E47506" w:rsidRDefault="00E47506" w:rsidP="00EE296F">
            <w:pPr>
              <w:jc w:val="center"/>
            </w:pPr>
            <w:r>
              <w:t>N/A</w:t>
            </w:r>
          </w:p>
        </w:tc>
      </w:tr>
      <w:tr w:rsidR="00E47506" w14:paraId="68E6C14D" w14:textId="77777777" w:rsidTr="00564EAF">
        <w:trPr>
          <w:jc w:val="center"/>
        </w:trPr>
        <w:tc>
          <w:tcPr>
            <w:tcW w:w="2407" w:type="dxa"/>
          </w:tcPr>
          <w:p w14:paraId="49B1D85E" w14:textId="77777777" w:rsidR="00E47506" w:rsidRDefault="00E47506" w:rsidP="00EE296F">
            <w:pPr>
              <w:jc w:val="both"/>
            </w:pPr>
            <w:r>
              <w:t>NR-PBCH</w:t>
            </w:r>
          </w:p>
        </w:tc>
        <w:tc>
          <w:tcPr>
            <w:tcW w:w="2407" w:type="dxa"/>
          </w:tcPr>
          <w:p w14:paraId="46C671BA" w14:textId="77777777" w:rsidR="00E47506" w:rsidRDefault="00E47506" w:rsidP="00EE296F">
            <w:pPr>
              <w:jc w:val="center"/>
            </w:pPr>
            <w:r>
              <w:t>116 dB (-8.0)</w:t>
            </w:r>
          </w:p>
        </w:tc>
        <w:tc>
          <w:tcPr>
            <w:tcW w:w="2407" w:type="dxa"/>
          </w:tcPr>
          <w:p w14:paraId="4605D5C5" w14:textId="77777777" w:rsidR="00E47506" w:rsidRDefault="00E47506" w:rsidP="00EE296F">
            <w:pPr>
              <w:jc w:val="center"/>
            </w:pPr>
            <w:r>
              <w:t>117 dB (-8.6)</w:t>
            </w:r>
          </w:p>
        </w:tc>
      </w:tr>
      <w:tr w:rsidR="00E47506" w14:paraId="6CAE33E6" w14:textId="77777777" w:rsidTr="00564EAF">
        <w:trPr>
          <w:jc w:val="center"/>
        </w:trPr>
        <w:tc>
          <w:tcPr>
            <w:tcW w:w="2407" w:type="dxa"/>
          </w:tcPr>
          <w:p w14:paraId="7792A5E6" w14:textId="77777777" w:rsidR="00E47506" w:rsidRDefault="00E47506" w:rsidP="00EE296F">
            <w:pPr>
              <w:jc w:val="both"/>
            </w:pPr>
            <w:r>
              <w:t>NR PRACH format A1</w:t>
            </w:r>
          </w:p>
        </w:tc>
        <w:tc>
          <w:tcPr>
            <w:tcW w:w="2407" w:type="dxa"/>
          </w:tcPr>
          <w:p w14:paraId="4FF35D38" w14:textId="77777777" w:rsidR="00E47506" w:rsidRDefault="00E47506" w:rsidP="00EE296F">
            <w:pPr>
              <w:jc w:val="center"/>
            </w:pPr>
            <w:r>
              <w:t>124 dB(0.0)</w:t>
            </w:r>
          </w:p>
        </w:tc>
        <w:tc>
          <w:tcPr>
            <w:tcW w:w="2407" w:type="dxa"/>
          </w:tcPr>
          <w:p w14:paraId="464C0024" w14:textId="77777777" w:rsidR="00E47506" w:rsidRDefault="00E47506" w:rsidP="00EE296F">
            <w:pPr>
              <w:jc w:val="center"/>
            </w:pPr>
            <w:r>
              <w:t>125.6 dB(0.0)</w:t>
            </w:r>
          </w:p>
        </w:tc>
      </w:tr>
      <w:tr w:rsidR="00E47506" w14:paraId="70B3D812" w14:textId="77777777" w:rsidTr="00564EAF">
        <w:trPr>
          <w:jc w:val="center"/>
        </w:trPr>
        <w:tc>
          <w:tcPr>
            <w:tcW w:w="2407" w:type="dxa"/>
          </w:tcPr>
          <w:p w14:paraId="720A020D" w14:textId="77777777" w:rsidR="00E47506" w:rsidRDefault="00E47506" w:rsidP="00EE296F">
            <w:pPr>
              <w:jc w:val="both"/>
            </w:pPr>
            <w:r>
              <w:t>NR PRACH format A2</w:t>
            </w:r>
          </w:p>
        </w:tc>
        <w:tc>
          <w:tcPr>
            <w:tcW w:w="2407" w:type="dxa"/>
          </w:tcPr>
          <w:p w14:paraId="04FDA489" w14:textId="77777777" w:rsidR="00E47506" w:rsidRDefault="00E47506" w:rsidP="00EE296F">
            <w:pPr>
              <w:jc w:val="center"/>
            </w:pPr>
            <w:r>
              <w:t>126.8 dB (+2.8)</w:t>
            </w:r>
          </w:p>
        </w:tc>
        <w:tc>
          <w:tcPr>
            <w:tcW w:w="2407" w:type="dxa"/>
          </w:tcPr>
          <w:p w14:paraId="119DE055" w14:textId="77777777" w:rsidR="00E47506" w:rsidRDefault="00E47506" w:rsidP="00EE296F">
            <w:pPr>
              <w:jc w:val="center"/>
            </w:pPr>
            <w:r>
              <w:t>127.6 dB (+2.0)</w:t>
            </w:r>
          </w:p>
        </w:tc>
      </w:tr>
    </w:tbl>
    <w:bookmarkEnd w:id="3"/>
    <w:p w14:paraId="2C91D35D" w14:textId="54A7C945" w:rsidR="00564EAF" w:rsidRDefault="0023284E" w:rsidP="006322D1">
      <w:pPr>
        <w:spacing w:before="240"/>
        <w:jc w:val="both"/>
        <w:rPr>
          <w:i/>
          <w:iCs/>
          <w:lang w:eastAsia="zh-CN"/>
        </w:rPr>
      </w:pPr>
      <w:r>
        <w:rPr>
          <w:b/>
          <w:i/>
          <w:iCs/>
          <w:lang w:eastAsia="zh-CN"/>
        </w:rPr>
        <w:t xml:space="preserve">Observation </w:t>
      </w:r>
      <w:r w:rsidR="00564EAF">
        <w:rPr>
          <w:b/>
          <w:i/>
          <w:iCs/>
          <w:lang w:eastAsia="zh-CN"/>
        </w:rPr>
        <w:t>13</w:t>
      </w:r>
      <w:r>
        <w:rPr>
          <w:b/>
          <w:i/>
          <w:iCs/>
          <w:lang w:eastAsia="zh-CN"/>
        </w:rPr>
        <w:t>:</w:t>
      </w:r>
      <w:r>
        <w:rPr>
          <w:i/>
          <w:iCs/>
          <w:lang w:eastAsia="zh-CN"/>
        </w:rPr>
        <w:t xml:space="preserve"> DL synchronization signals and physical broadcast channel are having roughly 8-9 dB worse MCL than NR PRACH format A1. Thus, from system operation point of view</w:t>
      </w:r>
      <w:r w:rsidR="00323390">
        <w:rPr>
          <w:i/>
          <w:iCs/>
          <w:lang w:eastAsia="zh-CN"/>
        </w:rPr>
        <w:t xml:space="preserve"> lower maximum TX power with frequency conti</w:t>
      </w:r>
      <w:r w:rsidR="00CE4863">
        <w:rPr>
          <w:i/>
          <w:iCs/>
          <w:lang w:eastAsia="zh-CN"/>
        </w:rPr>
        <w:t>n</w:t>
      </w:r>
      <w:r w:rsidR="00323390">
        <w:rPr>
          <w:i/>
          <w:iCs/>
          <w:lang w:eastAsia="zh-CN"/>
        </w:rPr>
        <w:t>uous PRACH format is not an issue. Instead, coverage of DL synchronization and physical broadcast channel</w:t>
      </w:r>
      <w:r>
        <w:rPr>
          <w:i/>
          <w:iCs/>
          <w:lang w:eastAsia="zh-CN"/>
        </w:rPr>
        <w:t xml:space="preserve"> </w:t>
      </w:r>
      <w:r w:rsidR="00323390">
        <w:rPr>
          <w:i/>
          <w:iCs/>
          <w:lang w:eastAsia="zh-CN"/>
        </w:rPr>
        <w:t>should be enhanced significantly.</w:t>
      </w:r>
    </w:p>
    <w:p w14:paraId="56880312" w14:textId="5693A729" w:rsidR="00C917F8" w:rsidRPr="00564EAF" w:rsidRDefault="00C917F8" w:rsidP="00745D88">
      <w:pPr>
        <w:jc w:val="both"/>
        <w:rPr>
          <w:i/>
          <w:iCs/>
          <w:lang w:eastAsia="zh-CN"/>
        </w:rPr>
      </w:pPr>
      <w:r w:rsidRPr="004E4414">
        <w:t>Based on discussion above, we see that frequency continuous PRAC</w:t>
      </w:r>
      <w:r w:rsidR="004F2467" w:rsidRPr="004E4414">
        <w:t>H preamble design</w:t>
      </w:r>
      <w:r w:rsidRPr="004E4414">
        <w:t xml:space="preserve"> can inherit the Rel-15 NR design, reducing the specification and implementation efforts</w:t>
      </w:r>
      <w:r w:rsidR="004F2467" w:rsidRPr="004E4414">
        <w:t xml:space="preserve">. It </w:t>
      </w:r>
      <w:r w:rsidRPr="004E4414">
        <w:t xml:space="preserve">supports good timing estimation accuracy </w:t>
      </w:r>
      <w:r w:rsidR="004F2467" w:rsidRPr="004E4414">
        <w:t xml:space="preserve">and </w:t>
      </w:r>
      <w:r w:rsidRPr="004E4414">
        <w:t>sufficient cell range</w:t>
      </w:r>
      <w:r w:rsidR="004F2467" w:rsidRPr="004E4414">
        <w:t>. It also provides a</w:t>
      </w:r>
      <w:r w:rsidRPr="004E4414">
        <w:t xml:space="preserve"> sufficient number of PRACH preambles</w:t>
      </w:r>
      <w:r w:rsidR="004F2467" w:rsidRPr="004E4414">
        <w:t xml:space="preserve"> and reaches maximum path loss significantly larger than supported by</w:t>
      </w:r>
      <w:r w:rsidR="006322D1">
        <w:t xml:space="preserve"> DL synchronization and physical broadcast channel</w:t>
      </w:r>
      <w:r w:rsidR="004F2467" w:rsidRPr="004E4414">
        <w:t xml:space="preserve">. Finally, frequency continuous PRACH </w:t>
      </w:r>
      <w:r w:rsidRPr="004E4414">
        <w:t xml:space="preserve">multiplexes with </w:t>
      </w:r>
      <w:r w:rsidR="004F2467" w:rsidRPr="004E4414">
        <w:t xml:space="preserve">B-IFDM PUSCH with amount of </w:t>
      </w:r>
      <w:r w:rsidRPr="004E4414">
        <w:t xml:space="preserve">puncturing </w:t>
      </w:r>
      <w:r w:rsidR="004F2467" w:rsidRPr="004E4414">
        <w:t xml:space="preserve">that is comparable to </w:t>
      </w:r>
      <w:r w:rsidRPr="004E4414">
        <w:t>B-IFDM with non-uniform block spacing</w:t>
      </w:r>
      <w:r w:rsidR="004F2467" w:rsidRPr="004E4414">
        <w:t xml:space="preserve"> and less than for TinB-IFDM and IFDM PRACH preamble designs. </w:t>
      </w:r>
      <w:r w:rsidR="006322D1">
        <w:t>F</w:t>
      </w:r>
      <w:r w:rsidR="006322D1" w:rsidRPr="004E4414">
        <w:t>requency continuous PRACH multiplexes</w:t>
      </w:r>
      <w:r w:rsidRPr="004E4414">
        <w:t xml:space="preserve"> easily with continuous PUSCH allocation</w:t>
      </w:r>
      <w:r w:rsidR="004F2467" w:rsidRPr="004E4414">
        <w:t xml:space="preserve">. In RAN1#94 [4], it was agreed that </w:t>
      </w:r>
      <w:r w:rsidR="00A637BF" w:rsidRPr="004E4414">
        <w:t xml:space="preserve">it is beneficial to use contiguous resource allocation for PRACH when </w:t>
      </w:r>
      <w:r w:rsidR="004F2467" w:rsidRPr="004E4414">
        <w:t>contiguous allocat</w:t>
      </w:r>
      <w:r w:rsidR="00A637BF" w:rsidRPr="004E4414">
        <w:t>ion for PUSCH and PUCCH is used.</w:t>
      </w:r>
      <w:r w:rsidR="004F2467" w:rsidRPr="004E4414">
        <w:t xml:space="preserve"> </w:t>
      </w:r>
    </w:p>
    <w:p w14:paraId="7DA0A84D" w14:textId="7980A1F0" w:rsidR="00C917F8" w:rsidRPr="004E4414" w:rsidRDefault="00C917F8" w:rsidP="00C917F8">
      <w:pPr>
        <w:overflowPunct/>
        <w:autoSpaceDE/>
        <w:autoSpaceDN/>
        <w:adjustRightInd/>
        <w:spacing w:after="0"/>
        <w:jc w:val="both"/>
        <w:textAlignment w:val="auto"/>
        <w:rPr>
          <w:i/>
        </w:rPr>
      </w:pPr>
      <w:r w:rsidRPr="004E4414">
        <w:rPr>
          <w:b/>
          <w:bCs/>
          <w:i/>
          <w:iCs/>
          <w:lang w:eastAsia="zh-CN"/>
        </w:rPr>
        <w:t xml:space="preserve">Observation </w:t>
      </w:r>
      <w:r w:rsidR="00564EAF">
        <w:rPr>
          <w:b/>
          <w:bCs/>
          <w:i/>
          <w:iCs/>
          <w:lang w:eastAsia="zh-CN"/>
        </w:rPr>
        <w:t>14</w:t>
      </w:r>
      <w:r w:rsidRPr="004E4414">
        <w:rPr>
          <w:b/>
          <w:bCs/>
          <w:i/>
          <w:iCs/>
          <w:lang w:eastAsia="zh-CN"/>
        </w:rPr>
        <w:t xml:space="preserve">: </w:t>
      </w:r>
      <w:r w:rsidRPr="004E4414">
        <w:rPr>
          <w:i/>
        </w:rPr>
        <w:t xml:space="preserve">Frequency continuous PRACH preamble design for NR-U </w:t>
      </w:r>
    </w:p>
    <w:p w14:paraId="1765A01E" w14:textId="16A9512D" w:rsidR="00C917F8" w:rsidRPr="004E4414" w:rsidRDefault="00C917F8" w:rsidP="00C917F8">
      <w:pPr>
        <w:pStyle w:val="ListParagraph"/>
        <w:numPr>
          <w:ilvl w:val="0"/>
          <w:numId w:val="56"/>
        </w:numPr>
        <w:jc w:val="both"/>
        <w:rPr>
          <w:i/>
          <w:sz w:val="20"/>
          <w:szCs w:val="20"/>
          <w:lang w:val="en-GB" w:eastAsia="en-US"/>
        </w:rPr>
      </w:pPr>
      <w:r w:rsidRPr="004E4414">
        <w:rPr>
          <w:i/>
          <w:sz w:val="20"/>
          <w:szCs w:val="20"/>
          <w:lang w:val="en-GB" w:eastAsia="en-US"/>
        </w:rPr>
        <w:t xml:space="preserve">can </w:t>
      </w:r>
      <w:r w:rsidR="004F2467" w:rsidRPr="004E4414">
        <w:rPr>
          <w:i/>
          <w:sz w:val="20"/>
          <w:szCs w:val="20"/>
          <w:lang w:val="en-GB" w:eastAsia="en-US"/>
        </w:rPr>
        <w:t>reduce</w:t>
      </w:r>
      <w:r w:rsidRPr="004E4414">
        <w:rPr>
          <w:i/>
          <w:sz w:val="20"/>
          <w:szCs w:val="20"/>
          <w:lang w:val="en-GB" w:eastAsia="en-US"/>
        </w:rPr>
        <w:t xml:space="preserve"> the specification and implementation efforts</w:t>
      </w:r>
    </w:p>
    <w:p w14:paraId="789BE6B0" w14:textId="1F72D91F" w:rsidR="00A637BF" w:rsidRPr="004E4414" w:rsidRDefault="00A637BF" w:rsidP="00A637BF">
      <w:pPr>
        <w:pStyle w:val="ListParagraph"/>
        <w:numPr>
          <w:ilvl w:val="0"/>
          <w:numId w:val="56"/>
        </w:numPr>
        <w:jc w:val="both"/>
        <w:rPr>
          <w:i/>
          <w:sz w:val="20"/>
          <w:szCs w:val="20"/>
          <w:lang w:val="en-GB" w:eastAsia="en-US"/>
        </w:rPr>
      </w:pPr>
      <w:r w:rsidRPr="004E4414">
        <w:rPr>
          <w:i/>
          <w:sz w:val="20"/>
          <w:szCs w:val="20"/>
          <w:lang w:val="en-GB" w:eastAsia="en-US"/>
        </w:rPr>
        <w:t>multiplexes with B-IFDM PUSCH with comparable puncturing as B-IFDM with non-uniform block spacing.</w:t>
      </w:r>
    </w:p>
    <w:p w14:paraId="77C699C3" w14:textId="775EDA96" w:rsidR="00C917F8" w:rsidRPr="00564EAF" w:rsidRDefault="00C917F8" w:rsidP="006E4235">
      <w:pPr>
        <w:pStyle w:val="ListParagraph"/>
        <w:numPr>
          <w:ilvl w:val="0"/>
          <w:numId w:val="56"/>
        </w:numPr>
        <w:jc w:val="both"/>
        <w:rPr>
          <w:i/>
          <w:sz w:val="20"/>
          <w:szCs w:val="20"/>
          <w:lang w:val="en-GB" w:eastAsia="en-US"/>
        </w:rPr>
      </w:pPr>
      <w:r w:rsidRPr="004E4414">
        <w:rPr>
          <w:i/>
          <w:sz w:val="20"/>
          <w:szCs w:val="20"/>
          <w:lang w:val="en-GB" w:eastAsia="en-US"/>
        </w:rPr>
        <w:t>supports good timing estimation accuracy</w:t>
      </w:r>
      <w:r w:rsidR="004F2467" w:rsidRPr="004E4414">
        <w:rPr>
          <w:i/>
          <w:sz w:val="20"/>
          <w:szCs w:val="20"/>
          <w:lang w:val="en-GB" w:eastAsia="en-US"/>
        </w:rPr>
        <w:t xml:space="preserve">, sufficient cell range, sufficient number of PRACH preambles as well as </w:t>
      </w:r>
      <w:r w:rsidR="00FA036E">
        <w:rPr>
          <w:i/>
          <w:sz w:val="20"/>
          <w:szCs w:val="20"/>
          <w:lang w:val="en-GB" w:eastAsia="en-US"/>
        </w:rPr>
        <w:t>sufficient</w:t>
      </w:r>
      <w:r w:rsidR="004F2467" w:rsidRPr="004E4414">
        <w:rPr>
          <w:i/>
          <w:sz w:val="20"/>
          <w:szCs w:val="20"/>
          <w:lang w:val="en-GB" w:eastAsia="en-US"/>
        </w:rPr>
        <w:t xml:space="preserve"> maximum</w:t>
      </w:r>
      <w:r w:rsidRPr="004E4414">
        <w:rPr>
          <w:i/>
          <w:sz w:val="20"/>
          <w:szCs w:val="20"/>
          <w:lang w:val="en-GB" w:eastAsia="en-US"/>
        </w:rPr>
        <w:t xml:space="preserve"> path loss</w:t>
      </w:r>
      <w:r w:rsidR="00A637BF" w:rsidRPr="004E4414">
        <w:rPr>
          <w:i/>
          <w:sz w:val="20"/>
          <w:szCs w:val="20"/>
          <w:lang w:val="en-GB" w:eastAsia="en-US"/>
        </w:rPr>
        <w:t>.</w:t>
      </w:r>
    </w:p>
    <w:p w14:paraId="4F169C41" w14:textId="0CF49A31" w:rsidR="006E4235" w:rsidRPr="00564EAF" w:rsidRDefault="006E4235" w:rsidP="006322D1">
      <w:pPr>
        <w:overflowPunct/>
        <w:autoSpaceDE/>
        <w:autoSpaceDN/>
        <w:adjustRightInd/>
        <w:spacing w:before="120" w:after="120"/>
        <w:textAlignment w:val="auto"/>
        <w:rPr>
          <w:rFonts w:eastAsia="Times New Roman"/>
          <w:i/>
          <w:iCs/>
        </w:rPr>
      </w:pPr>
      <w:r w:rsidRPr="004E4414">
        <w:rPr>
          <w:b/>
          <w:bCs/>
          <w:i/>
          <w:iCs/>
          <w:lang w:eastAsia="zh-CN"/>
        </w:rPr>
        <w:t xml:space="preserve">Proposal </w:t>
      </w:r>
      <w:r w:rsidR="00564EAF">
        <w:rPr>
          <w:b/>
          <w:bCs/>
          <w:i/>
          <w:iCs/>
          <w:lang w:eastAsia="zh-CN"/>
        </w:rPr>
        <w:t>18</w:t>
      </w:r>
      <w:r w:rsidRPr="004E4414">
        <w:rPr>
          <w:b/>
          <w:bCs/>
          <w:i/>
          <w:iCs/>
          <w:lang w:eastAsia="zh-CN"/>
        </w:rPr>
        <w:t xml:space="preserve">: </w:t>
      </w:r>
      <w:r w:rsidRPr="004E4414">
        <w:rPr>
          <w:i/>
          <w:iCs/>
          <w:lang w:eastAsia="zh-CN"/>
        </w:rPr>
        <w:t xml:space="preserve">NR-U PRACH preamble </w:t>
      </w:r>
      <w:r w:rsidRPr="00921786">
        <w:rPr>
          <w:i/>
        </w:rPr>
        <w:t xml:space="preserve">sequence </w:t>
      </w:r>
      <w:r w:rsidR="00B86039" w:rsidRPr="00921786">
        <w:rPr>
          <w:i/>
        </w:rPr>
        <w:t xml:space="preserve">is </w:t>
      </w:r>
      <w:r w:rsidRPr="00921786">
        <w:rPr>
          <w:i/>
        </w:rPr>
        <w:t>map</w:t>
      </w:r>
      <w:r w:rsidR="00B86039" w:rsidRPr="00921786">
        <w:rPr>
          <w:i/>
        </w:rPr>
        <w:t>ped</w:t>
      </w:r>
      <w:r w:rsidRPr="00921786">
        <w:rPr>
          <w:i/>
        </w:rPr>
        <w:t xml:space="preserve"> to contiguous</w:t>
      </w:r>
      <w:r w:rsidRPr="00921786">
        <w:rPr>
          <w:b/>
          <w:i/>
        </w:rPr>
        <w:t xml:space="preserve"> </w:t>
      </w:r>
      <w:r w:rsidRPr="00921786">
        <w:rPr>
          <w:i/>
        </w:rPr>
        <w:t>subcarriers</w:t>
      </w:r>
      <w:r w:rsidRPr="00564EAF">
        <w:rPr>
          <w:rFonts w:eastAsia="Times New Roman"/>
          <w:i/>
          <w:iCs/>
        </w:rPr>
        <w:t>.</w:t>
      </w:r>
    </w:p>
    <w:p w14:paraId="4D7FEBE2" w14:textId="1ECBFA48" w:rsidR="007E40A2" w:rsidRPr="004E4414" w:rsidRDefault="002B06DE" w:rsidP="00BF0F31">
      <w:pPr>
        <w:overflowPunct/>
        <w:autoSpaceDE/>
        <w:autoSpaceDN/>
        <w:adjustRightInd/>
        <w:spacing w:after="0"/>
        <w:textAlignment w:val="auto"/>
        <w:rPr>
          <w:i/>
          <w:iCs/>
          <w:lang w:eastAsia="zh-CN"/>
        </w:rPr>
      </w:pPr>
      <w:r w:rsidRPr="004E4414">
        <w:rPr>
          <w:b/>
          <w:bCs/>
          <w:i/>
          <w:iCs/>
          <w:lang w:eastAsia="zh-CN"/>
        </w:rPr>
        <w:t xml:space="preserve">Proposal </w:t>
      </w:r>
      <w:r w:rsidR="00564EAF">
        <w:rPr>
          <w:b/>
          <w:bCs/>
          <w:i/>
          <w:iCs/>
          <w:lang w:eastAsia="zh-CN"/>
        </w:rPr>
        <w:t>19</w:t>
      </w:r>
      <w:r w:rsidR="00741711" w:rsidRPr="004E4414">
        <w:rPr>
          <w:b/>
          <w:bCs/>
          <w:i/>
          <w:iCs/>
          <w:lang w:eastAsia="zh-CN"/>
        </w:rPr>
        <w:t xml:space="preserve">: </w:t>
      </w:r>
      <w:r w:rsidR="00741711" w:rsidRPr="004E4414">
        <w:rPr>
          <w:i/>
          <w:iCs/>
          <w:lang w:eastAsia="zh-CN"/>
        </w:rPr>
        <w:t xml:space="preserve">Consider PRACH preamble design </w:t>
      </w:r>
      <w:r w:rsidR="00BD3FD0" w:rsidRPr="004E4414">
        <w:rPr>
          <w:i/>
          <w:iCs/>
          <w:lang w:eastAsia="zh-CN"/>
        </w:rPr>
        <w:t>that</w:t>
      </w:r>
      <w:r w:rsidR="007E40A2" w:rsidRPr="004E4414">
        <w:rPr>
          <w:i/>
          <w:iCs/>
          <w:lang w:eastAsia="zh-CN"/>
        </w:rPr>
        <w:t>:</w:t>
      </w:r>
    </w:p>
    <w:p w14:paraId="361204DD" w14:textId="55FE3A3F" w:rsidR="007E40A2" w:rsidRPr="004E4414" w:rsidRDefault="007E40A2" w:rsidP="00447088">
      <w:pPr>
        <w:spacing w:after="0"/>
        <w:ind w:firstLine="284"/>
        <w:rPr>
          <w:rFonts w:eastAsia="Times New Roman"/>
          <w:i/>
          <w:iCs/>
        </w:rPr>
      </w:pPr>
      <w:r w:rsidRPr="004E4414">
        <w:rPr>
          <w:i/>
          <w:iCs/>
          <w:lang w:eastAsia="zh-CN"/>
        </w:rPr>
        <w:t>-</w:t>
      </w:r>
      <w:r w:rsidR="007B2899" w:rsidRPr="004E4414">
        <w:rPr>
          <w:i/>
          <w:iCs/>
          <w:lang w:eastAsia="zh-CN"/>
        </w:rPr>
        <w:t xml:space="preserve"> </w:t>
      </w:r>
      <w:r w:rsidR="003641D1" w:rsidRPr="004E4414">
        <w:rPr>
          <w:i/>
          <w:iCs/>
          <w:lang w:eastAsia="zh-CN"/>
        </w:rPr>
        <w:t xml:space="preserve">is </w:t>
      </w:r>
      <w:r w:rsidR="007B2899" w:rsidRPr="004E4414">
        <w:rPr>
          <w:i/>
          <w:iCs/>
          <w:lang w:eastAsia="zh-CN"/>
        </w:rPr>
        <w:t>continuous</w:t>
      </w:r>
      <w:r w:rsidR="004645A5" w:rsidRPr="004E4414">
        <w:rPr>
          <w:i/>
          <w:iCs/>
          <w:lang w:eastAsia="zh-CN"/>
        </w:rPr>
        <w:t xml:space="preserve"> in frequency and</w:t>
      </w:r>
      <w:r w:rsidRPr="004E4414">
        <w:rPr>
          <w:i/>
          <w:iCs/>
          <w:lang w:eastAsia="zh-CN"/>
        </w:rPr>
        <w:t xml:space="preserve"> satisfies OCB requirement </w:t>
      </w:r>
      <w:r w:rsidRPr="004E4414">
        <w:rPr>
          <w:rFonts w:eastAsia="Times New Roman"/>
          <w:i/>
          <w:iCs/>
        </w:rPr>
        <w:t>when PRACH is transmitted on UE acquired COT</w:t>
      </w:r>
    </w:p>
    <w:p w14:paraId="0D5286BF" w14:textId="2B52DFB6" w:rsidR="00FD5FC0" w:rsidRPr="004E4414" w:rsidRDefault="003641D1" w:rsidP="00447088">
      <w:pPr>
        <w:spacing w:after="0"/>
        <w:ind w:firstLine="284"/>
        <w:rPr>
          <w:i/>
          <w:lang w:eastAsia="zh-CN"/>
        </w:rPr>
      </w:pPr>
      <w:r w:rsidRPr="004E4414">
        <w:rPr>
          <w:rFonts w:eastAsia="Times New Roman"/>
          <w:i/>
          <w:iCs/>
        </w:rPr>
        <w:t xml:space="preserve">- is </w:t>
      </w:r>
      <w:r w:rsidRPr="004E4414">
        <w:rPr>
          <w:i/>
          <w:iCs/>
          <w:lang w:eastAsia="zh-CN"/>
        </w:rPr>
        <w:t>continuous in frequency but does not satisfy</w:t>
      </w:r>
      <w:r w:rsidR="00741711" w:rsidRPr="004E4414">
        <w:rPr>
          <w:i/>
          <w:iCs/>
          <w:lang w:eastAsia="zh-CN"/>
        </w:rPr>
        <w:t xml:space="preserve"> OCB requirement</w:t>
      </w:r>
      <w:r w:rsidR="1755B173" w:rsidRPr="004E4414">
        <w:rPr>
          <w:i/>
          <w:iCs/>
          <w:lang w:eastAsia="zh-CN"/>
        </w:rPr>
        <w:t xml:space="preserve"> or </w:t>
      </w:r>
      <w:r w:rsidRPr="004E4414">
        <w:rPr>
          <w:i/>
          <w:iCs/>
          <w:lang w:eastAsia="zh-CN"/>
        </w:rPr>
        <w:t xml:space="preserve">is </w:t>
      </w:r>
      <w:r w:rsidR="75635E82" w:rsidRPr="004E4414">
        <w:rPr>
          <w:i/>
          <w:iCs/>
          <w:lang w:eastAsia="zh-CN"/>
        </w:rPr>
        <w:t>repeated at the two sides of transmission BW</w:t>
      </w:r>
    </w:p>
    <w:p w14:paraId="287EECE9" w14:textId="32F3C62C" w:rsidR="0FA5B070" w:rsidRPr="004E4414" w:rsidRDefault="003641D1" w:rsidP="5F52755C">
      <w:pPr>
        <w:rPr>
          <w:rFonts w:eastAsia="Times New Roman"/>
          <w:i/>
          <w:iCs/>
        </w:rPr>
      </w:pPr>
      <w:r w:rsidRPr="004E4414">
        <w:rPr>
          <w:rFonts w:eastAsia="Times New Roman"/>
          <w:i/>
          <w:iCs/>
        </w:rPr>
        <w:tab/>
      </w:r>
      <w:r w:rsidR="0FA5B070" w:rsidRPr="004E4414">
        <w:rPr>
          <w:rFonts w:eastAsia="Times New Roman"/>
          <w:i/>
          <w:iCs/>
        </w:rPr>
        <w:t>when PRACH is transmitted on the UL portion of gNB</w:t>
      </w:r>
      <w:r w:rsidRPr="004E4414">
        <w:rPr>
          <w:rFonts w:eastAsia="Times New Roman"/>
          <w:i/>
          <w:iCs/>
        </w:rPr>
        <w:t xml:space="preserve"> acquired shared</w:t>
      </w:r>
      <w:r w:rsidR="0FA5B070" w:rsidRPr="004E4414">
        <w:rPr>
          <w:rFonts w:eastAsia="Times New Roman"/>
          <w:i/>
          <w:iCs/>
        </w:rPr>
        <w:t xml:space="preserve"> COT.</w:t>
      </w:r>
    </w:p>
    <w:p w14:paraId="5FC7F008" w14:textId="77777777" w:rsidR="00A21198" w:rsidRPr="004E4414" w:rsidRDefault="00A21198" w:rsidP="006322D1">
      <w:pPr>
        <w:overflowPunct/>
        <w:autoSpaceDE/>
        <w:autoSpaceDN/>
        <w:adjustRightInd/>
        <w:spacing w:after="120"/>
        <w:jc w:val="both"/>
        <w:textAlignment w:val="auto"/>
      </w:pPr>
      <w:r w:rsidRPr="004E4414">
        <w:t xml:space="preserve">One of the issues to consider is the subcarrier spacings supported for NR-U PRACH. Rel-15 NR supports both long and short sequence PRACH preambles. Sequence length is 839 for the long and 139 for the short sequence. Two different SCS options are defined for the long sequence: 1.25 and 5 kHz. For the short sequence, the SCS options are 15 and 30 kHz for below 6 GHz and 60 and 120 kHz for above 6 GHz. </w:t>
      </w:r>
    </w:p>
    <w:p w14:paraId="7D0C187C" w14:textId="38B1B6AC" w:rsidR="00A21198" w:rsidRPr="004E4414" w:rsidRDefault="00A21198" w:rsidP="00745D88">
      <w:pPr>
        <w:overflowPunct/>
        <w:autoSpaceDE/>
        <w:autoSpaceDN/>
        <w:adjustRightInd/>
        <w:jc w:val="both"/>
        <w:textAlignment w:val="auto"/>
        <w:rPr>
          <w:lang w:eastAsia="zh-CN"/>
        </w:rPr>
      </w:pPr>
      <w:r w:rsidRPr="004E4414">
        <w:t xml:space="preserve">We see it reasonable to support the same SCS values for NR-U PRACH as will be supported for NR-U PUSCH. In other words, short sequence PRACH preambles with 15 kHz, 30 kHz and potentially 60 kHz SCS options should be supported for the below 7 GHz frequency range. On other hand, NR-U operation will be limited to small cell deployments, so we do not </w:t>
      </w:r>
      <w:r w:rsidR="00D34A63" w:rsidRPr="004E4414">
        <w:t xml:space="preserve">see need to support 1.25 kHz or 5 kHz SCS options.  </w:t>
      </w:r>
    </w:p>
    <w:p w14:paraId="6A1FAB72" w14:textId="0BF43488" w:rsidR="00EF6CC4" w:rsidRPr="004E4414" w:rsidRDefault="00D34A63" w:rsidP="00745D88">
      <w:pPr>
        <w:overflowPunct/>
        <w:autoSpaceDE/>
        <w:autoSpaceDN/>
        <w:adjustRightInd/>
        <w:jc w:val="both"/>
        <w:textAlignment w:val="auto"/>
        <w:rPr>
          <w:i/>
        </w:rPr>
      </w:pPr>
      <w:r w:rsidRPr="004E4414">
        <w:rPr>
          <w:b/>
          <w:bCs/>
          <w:i/>
          <w:iCs/>
          <w:lang w:eastAsia="zh-CN"/>
        </w:rPr>
        <w:t>Proposal</w:t>
      </w:r>
      <w:r w:rsidR="00564EAF">
        <w:rPr>
          <w:b/>
          <w:bCs/>
          <w:i/>
          <w:iCs/>
          <w:lang w:eastAsia="zh-CN"/>
        </w:rPr>
        <w:t xml:space="preserve"> 20</w:t>
      </w:r>
      <w:r w:rsidR="00A21198" w:rsidRPr="004E4414">
        <w:rPr>
          <w:b/>
          <w:bCs/>
          <w:i/>
          <w:iCs/>
          <w:lang w:eastAsia="zh-CN"/>
        </w:rPr>
        <w:t>:</w:t>
      </w:r>
      <w:r w:rsidR="00A21198" w:rsidRPr="004E4414">
        <w:rPr>
          <w:b/>
          <w:bCs/>
          <w:lang w:eastAsia="zh-CN"/>
        </w:rPr>
        <w:t xml:space="preserve"> </w:t>
      </w:r>
      <w:r w:rsidRPr="004E4414">
        <w:rPr>
          <w:bCs/>
          <w:i/>
          <w:lang w:eastAsia="zh-CN"/>
        </w:rPr>
        <w:t>For NR-U PRACH,</w:t>
      </w:r>
      <w:r w:rsidRPr="004E4414">
        <w:rPr>
          <w:i/>
        </w:rPr>
        <w:t xml:space="preserve"> 15 kHz, 30 kHz and potentially 60 kHz SCS options are supported for the below 7 GHz frequency range.</w:t>
      </w:r>
    </w:p>
    <w:p w14:paraId="427656A0" w14:textId="42340E2A" w:rsidR="003B5782" w:rsidRDefault="00EF6CC4" w:rsidP="00745D88">
      <w:pPr>
        <w:overflowPunct/>
        <w:autoSpaceDE/>
        <w:autoSpaceDN/>
        <w:adjustRightInd/>
        <w:jc w:val="both"/>
        <w:textAlignment w:val="auto"/>
      </w:pPr>
      <w:r w:rsidRPr="004E4414">
        <w:t xml:space="preserve">In </w:t>
      </w:r>
      <w:r w:rsidR="001C299C" w:rsidRPr="004E4414">
        <w:t xml:space="preserve">the </w:t>
      </w:r>
      <w:r w:rsidRPr="004E4414">
        <w:t>following, the potential LBT blocking due to TA difference between FDM’d PUSCH and PRACH is considered.</w:t>
      </w:r>
      <w:r w:rsidR="001C299C" w:rsidRPr="004E4414">
        <w:t xml:space="preserve"> Figure </w:t>
      </w:r>
      <w:r w:rsidR="00564EAF">
        <w:t>8</w:t>
      </w:r>
      <w:r w:rsidR="001C299C" w:rsidRPr="004E4414">
        <w:t xml:space="preserve"> shows </w:t>
      </w:r>
      <w:r w:rsidRPr="004E4414">
        <w:t xml:space="preserve">PRACH </w:t>
      </w:r>
      <w:r w:rsidR="001C299C" w:rsidRPr="004E4414">
        <w:t xml:space="preserve">and PUSCH </w:t>
      </w:r>
      <w:r w:rsidRPr="004E4414">
        <w:t>transmission</w:t>
      </w:r>
      <w:r w:rsidR="001C299C" w:rsidRPr="004E4414">
        <w:t>s as well as the associated LBT processes.</w:t>
      </w:r>
      <w:r w:rsidRPr="004E4414">
        <w:t xml:space="preserve"> PRACH transmission </w:t>
      </w:r>
      <w:r w:rsidR="001C299C" w:rsidRPr="004E4414">
        <w:t xml:space="preserve">without TA offset </w:t>
      </w:r>
      <w:r w:rsidRPr="004E4414">
        <w:t>may be blocked by PUSCH transmission in</w:t>
      </w:r>
      <w:r w:rsidR="001C299C" w:rsidRPr="004E4414">
        <w:t xml:space="preserve"> Fig</w:t>
      </w:r>
      <w:r w:rsidR="00745D88">
        <w:t>ure 8</w:t>
      </w:r>
      <w:r w:rsidR="001C299C" w:rsidRPr="004E4414">
        <w:t xml:space="preserve">, since part of </w:t>
      </w:r>
      <w:r w:rsidRPr="004E4414">
        <w:t xml:space="preserve">PUSCH </w:t>
      </w:r>
      <w:r w:rsidR="001C299C" w:rsidRPr="004E4414">
        <w:t xml:space="preserve">with large enough TA offset </w:t>
      </w:r>
      <w:r w:rsidRPr="004E4414">
        <w:t>leaks in the sensing window of LBT.</w:t>
      </w:r>
      <w:r w:rsidR="001C299C" w:rsidRPr="004E4414">
        <w:t xml:space="preserve"> However, as long as the timing difference between PUSCH and PRACH is less than the time reserved for Rx-Tx switching, PUSCH leakage and, correspondingly, LBT blockage does not occur. </w:t>
      </w:r>
      <w:r w:rsidR="00DF5634" w:rsidRPr="004E4414">
        <w:t xml:space="preserve">In LTE LAA, </w:t>
      </w:r>
      <w:r w:rsidR="00E1559B" w:rsidRPr="004E4414">
        <w:t xml:space="preserve">up to </w:t>
      </w:r>
      <w:r w:rsidR="00DF5634" w:rsidRPr="004E4414">
        <w:t>5 us</w:t>
      </w:r>
      <w:r w:rsidR="00E1559B" w:rsidRPr="004E4414">
        <w:t xml:space="preserve"> Rx-Tx switching time is allowed for a 9 us channel sensing slot. Ignoring possible timing errors in</w:t>
      </w:r>
      <w:r w:rsidR="00E1559B">
        <w:t xml:space="preserve"> the PRACH and PUSCH transmissions, 5 us corresponds to 750 m two-way propagation delay. </w:t>
      </w:r>
      <w:r w:rsidR="003B5782">
        <w:t xml:space="preserve">NR-U cell ranges can be expected to be significantly smaller than 750 m due to gNB Tx power and EIRP limitations. Further, if large cell ranges are necessary and otherwise feasible in some specific NR-U deployments, TDM between PRACH and PUSCH can be used. </w:t>
      </w:r>
    </w:p>
    <w:p w14:paraId="56144AE8" w14:textId="62103553" w:rsidR="003B5782" w:rsidRPr="00D34A63" w:rsidRDefault="003B5782" w:rsidP="003B5782">
      <w:pPr>
        <w:overflowPunct/>
        <w:autoSpaceDE/>
        <w:autoSpaceDN/>
        <w:adjustRightInd/>
        <w:spacing w:after="0"/>
        <w:jc w:val="both"/>
        <w:textAlignment w:val="auto"/>
        <w:rPr>
          <w:i/>
        </w:rPr>
      </w:pPr>
      <w:r w:rsidRPr="003B5782">
        <w:rPr>
          <w:b/>
          <w:bCs/>
          <w:i/>
          <w:iCs/>
          <w:lang w:eastAsia="zh-CN"/>
        </w:rPr>
        <w:t xml:space="preserve">Observation </w:t>
      </w:r>
      <w:r w:rsidR="00564EAF">
        <w:rPr>
          <w:b/>
          <w:bCs/>
          <w:i/>
          <w:iCs/>
          <w:lang w:eastAsia="zh-CN"/>
        </w:rPr>
        <w:t>15</w:t>
      </w:r>
      <w:r w:rsidRPr="003B5782">
        <w:rPr>
          <w:b/>
          <w:bCs/>
          <w:i/>
          <w:iCs/>
          <w:lang w:eastAsia="zh-CN"/>
        </w:rPr>
        <w:t xml:space="preserve">: </w:t>
      </w:r>
      <w:r w:rsidRPr="003B5782">
        <w:rPr>
          <w:i/>
        </w:rPr>
        <w:t xml:space="preserve">LBT blocking due to TA difference between </w:t>
      </w:r>
      <w:r w:rsidR="008A5EAC">
        <w:rPr>
          <w:i/>
        </w:rPr>
        <w:t>frequency multiplexed</w:t>
      </w:r>
      <w:r w:rsidRPr="003B5782">
        <w:rPr>
          <w:i/>
        </w:rPr>
        <w:t xml:space="preserve"> PUSCH, PUCCH, and PRACH is not expected in small cell deployments.</w:t>
      </w:r>
      <w:r w:rsidRPr="00A637BF">
        <w:rPr>
          <w:i/>
        </w:rPr>
        <w:t xml:space="preserve"> </w:t>
      </w:r>
    </w:p>
    <w:p w14:paraId="77480225" w14:textId="7D6F8D3B" w:rsidR="00EF6CC4" w:rsidRDefault="003B5782" w:rsidP="001C299C">
      <w:pPr>
        <w:overflowPunct/>
        <w:autoSpaceDE/>
        <w:autoSpaceDN/>
        <w:adjustRightInd/>
        <w:spacing w:after="0"/>
        <w:jc w:val="both"/>
        <w:textAlignment w:val="auto"/>
      </w:pPr>
      <w:r>
        <w:t xml:space="preserve">  </w:t>
      </w:r>
      <w:r w:rsidR="00E1559B">
        <w:t xml:space="preserve">    </w:t>
      </w:r>
      <w:r w:rsidR="00DF5634">
        <w:t xml:space="preserve"> </w:t>
      </w:r>
      <w:r w:rsidR="00EF6CC4">
        <w:t xml:space="preserve"> </w:t>
      </w:r>
    </w:p>
    <w:p w14:paraId="6CD4CE36" w14:textId="03E0DCF5" w:rsidR="00A21198" w:rsidRDefault="00CA40D2" w:rsidP="003B5782">
      <w:pPr>
        <w:overflowPunct/>
        <w:autoSpaceDE/>
        <w:autoSpaceDN/>
        <w:adjustRightInd/>
        <w:spacing w:after="0"/>
        <w:jc w:val="center"/>
        <w:textAlignment w:val="auto"/>
        <w:rPr>
          <w:rFonts w:ascii="FuturaA Bk BT" w:hAnsi="FuturaA Bk BT"/>
          <w:iCs/>
          <w:color w:val="000000"/>
          <w:lang w:eastAsia="zh-CN"/>
        </w:rPr>
      </w:pPr>
      <w:r>
        <w:rPr>
          <w:rFonts w:ascii="FuturaA Bk BT" w:hAnsi="FuturaA Bk BT"/>
          <w:iCs/>
          <w:color w:val="000000"/>
          <w:lang w:eastAsia="zh-CN"/>
        </w:rPr>
        <w:object w:dxaOrig="6804" w:dyaOrig="1992" w14:anchorId="54504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99.6pt" o:ole="">
            <v:imagedata r:id="rId25" o:title=""/>
          </v:shape>
          <o:OLEObject Type="Embed" ProgID="Visio.Drawing.11" ShapeID="_x0000_i1025" DrawAspect="Content" ObjectID="_1599654976" r:id="rId26"/>
        </w:object>
      </w:r>
    </w:p>
    <w:p w14:paraId="64895833" w14:textId="22DAA9B7" w:rsidR="003B5782" w:rsidRPr="003B5782" w:rsidRDefault="003B5782" w:rsidP="003B5782">
      <w:pPr>
        <w:pStyle w:val="Caption"/>
        <w:jc w:val="center"/>
        <w:rPr>
          <w:rFonts w:ascii="FuturaA Bk BT" w:hAnsi="FuturaA Bk BT"/>
          <w:b w:val="0"/>
          <w:iCs/>
          <w:color w:val="000000"/>
          <w:lang w:eastAsia="zh-CN"/>
        </w:rPr>
      </w:pPr>
      <w:r>
        <w:t xml:space="preserve">Figure </w:t>
      </w:r>
      <w:r w:rsidR="00564EAF">
        <w:t>8</w:t>
      </w:r>
      <w:r>
        <w:t xml:space="preserve">. PRACH LBT blockage due to </w:t>
      </w:r>
      <w:r w:rsidR="00F15515">
        <w:t>frequency multiplexed</w:t>
      </w:r>
      <w:r>
        <w:t xml:space="preserve"> PUSCH.</w:t>
      </w:r>
    </w:p>
    <w:p w14:paraId="409DFB65" w14:textId="047A5B26" w:rsidR="00235652" w:rsidRPr="00A51522" w:rsidRDefault="00235652" w:rsidP="00235652">
      <w:pPr>
        <w:pStyle w:val="Heading1"/>
        <w:rPr>
          <w:color w:val="000000"/>
        </w:rPr>
      </w:pPr>
      <w:r>
        <w:rPr>
          <w:color w:val="000000"/>
        </w:rPr>
        <w:t>5. SRS</w:t>
      </w:r>
    </w:p>
    <w:p w14:paraId="04BCA515" w14:textId="6C0D3B7F" w:rsidR="00B20C2D" w:rsidRPr="008A5EAC" w:rsidRDefault="00B20C2D" w:rsidP="00745D88">
      <w:pPr>
        <w:spacing w:after="120"/>
        <w:jc w:val="both"/>
        <w:rPr>
          <w:rFonts w:eastAsia="Times New Roman"/>
        </w:rPr>
      </w:pPr>
      <w:r w:rsidRPr="008A5EAC">
        <w:rPr>
          <w:rFonts w:eastAsia="Times New Roman"/>
        </w:rPr>
        <w:t xml:space="preserve">SRS design for NR-U should be addressed mostly after the baseline design for NR-U frame structure, PUSCH and PUCCH is completed. However, some aspects can be considered already at this phase. </w:t>
      </w:r>
    </w:p>
    <w:p w14:paraId="616F64EB" w14:textId="2C7C6530" w:rsidR="003B7F24" w:rsidRPr="004E4414" w:rsidRDefault="00E47A92" w:rsidP="008A5EAC">
      <w:pPr>
        <w:spacing w:after="0"/>
        <w:jc w:val="both"/>
        <w:rPr>
          <w:rFonts w:eastAsia="Times New Roman"/>
        </w:rPr>
      </w:pPr>
      <w:r w:rsidRPr="004E4414">
        <w:rPr>
          <w:rFonts w:eastAsia="Times New Roman"/>
        </w:rPr>
        <w:t>Either TDMA or FDMA may be applied for multiplexing SRS with UL channels</w:t>
      </w:r>
      <w:r w:rsidR="009A5FAC">
        <w:rPr>
          <w:rFonts w:eastAsia="Times New Roman"/>
        </w:rPr>
        <w:t>.</w:t>
      </w:r>
      <w:r w:rsidR="003B7F24" w:rsidRPr="004E4414">
        <w:rPr>
          <w:rFonts w:eastAsia="Times New Roman"/>
        </w:rPr>
        <w:t xml:space="preserve"> </w:t>
      </w:r>
      <w:r w:rsidR="009A5FAC">
        <w:rPr>
          <w:rFonts w:eastAsia="Times New Roman"/>
        </w:rPr>
        <w:t>T</w:t>
      </w:r>
      <w:r w:rsidR="003B7F24" w:rsidRPr="004E4414">
        <w:rPr>
          <w:rFonts w:eastAsia="Times New Roman"/>
        </w:rPr>
        <w:t>hese options are considered next:</w:t>
      </w:r>
    </w:p>
    <w:p w14:paraId="60A12ED2" w14:textId="77E4483F" w:rsidR="003B7F24" w:rsidRPr="008A5EAC" w:rsidRDefault="00E47A92" w:rsidP="008A5EAC">
      <w:pPr>
        <w:pStyle w:val="ListParagraph"/>
        <w:numPr>
          <w:ilvl w:val="0"/>
          <w:numId w:val="72"/>
        </w:numPr>
        <w:jc w:val="both"/>
        <w:rPr>
          <w:rFonts w:eastAsia="Times New Roman"/>
          <w:sz w:val="20"/>
          <w:szCs w:val="20"/>
          <w:lang w:val="en-GB"/>
        </w:rPr>
      </w:pPr>
      <w:r w:rsidRPr="008A5EAC">
        <w:rPr>
          <w:rFonts w:eastAsia="Times New Roman"/>
          <w:sz w:val="20"/>
          <w:szCs w:val="20"/>
          <w:lang w:val="en-GB"/>
        </w:rPr>
        <w:t xml:space="preserve">In some cases, SRS may be transmitted only by few UEs per slot. </w:t>
      </w:r>
      <w:r w:rsidR="003B7F24" w:rsidRPr="008A5EAC">
        <w:rPr>
          <w:rFonts w:eastAsia="Times New Roman"/>
          <w:sz w:val="20"/>
          <w:szCs w:val="20"/>
          <w:lang w:val="en-GB"/>
        </w:rPr>
        <w:t xml:space="preserve">In </w:t>
      </w:r>
      <w:r w:rsidRPr="008A5EAC">
        <w:rPr>
          <w:rFonts w:eastAsia="Times New Roman"/>
          <w:sz w:val="20"/>
          <w:szCs w:val="20"/>
          <w:lang w:val="en-GB"/>
        </w:rPr>
        <w:t xml:space="preserve">case of TDMA, this would lead to waste of </w:t>
      </w:r>
      <w:r w:rsidR="009A5FAC">
        <w:rPr>
          <w:rFonts w:eastAsia="Times New Roman"/>
          <w:sz w:val="20"/>
          <w:szCs w:val="20"/>
          <w:lang w:val="en-GB"/>
        </w:rPr>
        <w:t xml:space="preserve">unused </w:t>
      </w:r>
      <w:r w:rsidRPr="008A5EAC">
        <w:rPr>
          <w:rFonts w:eastAsia="Times New Roman"/>
          <w:sz w:val="20"/>
          <w:szCs w:val="20"/>
          <w:lang w:val="en-GB"/>
        </w:rPr>
        <w:t>REs in those symbols containing SRS</w:t>
      </w:r>
      <w:r w:rsidR="009A5FAC">
        <w:rPr>
          <w:rFonts w:eastAsia="Times New Roman"/>
          <w:sz w:val="20"/>
          <w:szCs w:val="20"/>
          <w:lang w:val="en-GB"/>
        </w:rPr>
        <w:t xml:space="preserve"> as no UL channel could be multiplexed</w:t>
      </w:r>
      <w:r w:rsidR="004F7A96">
        <w:rPr>
          <w:rFonts w:eastAsia="Times New Roman"/>
          <w:sz w:val="20"/>
          <w:szCs w:val="20"/>
          <w:lang w:val="en-GB"/>
        </w:rPr>
        <w:t xml:space="preserve"> on the vacant REs</w:t>
      </w:r>
      <w:r w:rsidRPr="008A5EAC">
        <w:rPr>
          <w:rFonts w:eastAsia="Times New Roman"/>
          <w:sz w:val="20"/>
          <w:szCs w:val="20"/>
          <w:lang w:val="en-GB"/>
        </w:rPr>
        <w:t xml:space="preserve">. </w:t>
      </w:r>
    </w:p>
    <w:p w14:paraId="407736CE" w14:textId="009AD5B3" w:rsidR="003B7F24" w:rsidRPr="008A5EAC" w:rsidRDefault="003B7F24" w:rsidP="008A5EAC">
      <w:pPr>
        <w:pStyle w:val="ListParagraph"/>
        <w:numPr>
          <w:ilvl w:val="0"/>
          <w:numId w:val="72"/>
        </w:numPr>
        <w:jc w:val="both"/>
        <w:rPr>
          <w:rFonts w:eastAsia="Times New Roman"/>
          <w:sz w:val="20"/>
          <w:szCs w:val="20"/>
          <w:lang w:val="en-GB"/>
        </w:rPr>
      </w:pPr>
      <w:r w:rsidRPr="008A5EAC">
        <w:rPr>
          <w:rFonts w:eastAsia="Times New Roman"/>
          <w:sz w:val="20"/>
          <w:szCs w:val="20"/>
          <w:lang w:val="en-GB"/>
        </w:rPr>
        <w:t>Especially in the case of multiple switching points within COT, PUCCH may be transmitted</w:t>
      </w:r>
      <w:r w:rsidR="004F7A96">
        <w:rPr>
          <w:rFonts w:eastAsia="Times New Roman"/>
          <w:sz w:val="20"/>
          <w:szCs w:val="20"/>
          <w:lang w:val="en-GB"/>
        </w:rPr>
        <w:t xml:space="preserve"> in some cases</w:t>
      </w:r>
      <w:r w:rsidRPr="008A5EAC">
        <w:rPr>
          <w:rFonts w:eastAsia="Times New Roman"/>
          <w:sz w:val="20"/>
          <w:szCs w:val="20"/>
          <w:lang w:val="en-GB"/>
        </w:rPr>
        <w:t xml:space="preserve"> only by few UEs reporting HARQ feedback for previous PDSCHs. Hence, the symbols would contain unused resource elements, and it would be attractive to utilize them for SRS transmission. </w:t>
      </w:r>
    </w:p>
    <w:p w14:paraId="0A1ACA70" w14:textId="6F74D68F" w:rsidR="004E4414" w:rsidRPr="004E4414" w:rsidRDefault="00E47A92" w:rsidP="008A5EAC">
      <w:pPr>
        <w:jc w:val="both"/>
        <w:rPr>
          <w:rFonts w:eastAsia="Times New Roman"/>
        </w:rPr>
      </w:pPr>
      <w:r w:rsidRPr="008A5EAC">
        <w:rPr>
          <w:rFonts w:eastAsia="Times New Roman"/>
        </w:rPr>
        <w:t>Hence, we see that FDMA between SRS</w:t>
      </w:r>
      <w:r w:rsidR="003B7F24" w:rsidRPr="004E4414">
        <w:rPr>
          <w:rFonts w:eastAsia="Times New Roman"/>
        </w:rPr>
        <w:t>, PUSCH and PUCCH</w:t>
      </w:r>
      <w:r w:rsidRPr="008A5EAC">
        <w:rPr>
          <w:rFonts w:eastAsia="Times New Roman"/>
        </w:rPr>
        <w:t xml:space="preserve"> should be supported</w:t>
      </w:r>
      <w:r w:rsidR="004E4414" w:rsidRPr="004E4414">
        <w:rPr>
          <w:rFonts w:eastAsia="Times New Roman"/>
        </w:rPr>
        <w:t xml:space="preserve">. However, when SRS and PUCCH are multiplexed, that should not cause any rate matching (or puncturing) on PUCCH. Reliable transmission is needed </w:t>
      </w:r>
      <w:r w:rsidR="009A5FAC">
        <w:rPr>
          <w:rFonts w:eastAsia="Times New Roman"/>
        </w:rPr>
        <w:t>for UCI</w:t>
      </w:r>
      <w:r w:rsidR="004E4414" w:rsidRPr="004E4414">
        <w:rPr>
          <w:rFonts w:eastAsia="Times New Roman"/>
        </w:rPr>
        <w:t>, which PUCCH rate matching</w:t>
      </w:r>
      <w:r w:rsidR="009A5FAC">
        <w:rPr>
          <w:rFonts w:eastAsia="Times New Roman"/>
        </w:rPr>
        <w:t xml:space="preserve"> due to SRS</w:t>
      </w:r>
      <w:r w:rsidR="004E4414" w:rsidRPr="004E4414">
        <w:rPr>
          <w:rFonts w:eastAsia="Times New Roman"/>
        </w:rPr>
        <w:t xml:space="preserve"> would deteriorate.</w:t>
      </w:r>
    </w:p>
    <w:p w14:paraId="3D2D2DD7" w14:textId="19B7B1E4" w:rsidR="009A5FAC" w:rsidRPr="008A5EAC" w:rsidRDefault="009A5FAC" w:rsidP="009A5FAC">
      <w:pPr>
        <w:jc w:val="both"/>
        <w:rPr>
          <w:i/>
          <w:iCs/>
          <w:lang w:eastAsia="zh-CN"/>
        </w:rPr>
      </w:pPr>
      <w:r w:rsidRPr="008A5EAC">
        <w:rPr>
          <w:b/>
          <w:i/>
          <w:iCs/>
          <w:lang w:eastAsia="zh-CN"/>
        </w:rPr>
        <w:t>Proposal</w:t>
      </w:r>
      <w:r w:rsidR="00745D88">
        <w:rPr>
          <w:b/>
          <w:i/>
          <w:iCs/>
          <w:lang w:eastAsia="zh-CN"/>
        </w:rPr>
        <w:t xml:space="preserve"> 21</w:t>
      </w:r>
      <w:r w:rsidRPr="008A5EAC">
        <w:rPr>
          <w:b/>
          <w:i/>
          <w:iCs/>
          <w:lang w:eastAsia="zh-CN"/>
        </w:rPr>
        <w:t>:</w:t>
      </w:r>
      <w:r w:rsidRPr="008A5EAC">
        <w:rPr>
          <w:i/>
          <w:iCs/>
          <w:lang w:eastAsia="zh-CN"/>
        </w:rPr>
        <w:t xml:space="preserve"> </w:t>
      </w:r>
      <w:r>
        <w:rPr>
          <w:i/>
          <w:iCs/>
          <w:lang w:eastAsia="zh-CN"/>
        </w:rPr>
        <w:t>Frequency domain m</w:t>
      </w:r>
      <w:r w:rsidRPr="008A5EAC">
        <w:rPr>
          <w:i/>
          <w:iCs/>
          <w:lang w:eastAsia="zh-CN"/>
        </w:rPr>
        <w:t>ultiplexing</w:t>
      </w:r>
      <w:r>
        <w:rPr>
          <w:i/>
          <w:iCs/>
          <w:lang w:eastAsia="zh-CN"/>
        </w:rPr>
        <w:t xml:space="preserve"> of SRS with</w:t>
      </w:r>
      <w:r w:rsidRPr="008A5EAC">
        <w:rPr>
          <w:i/>
          <w:iCs/>
          <w:lang w:eastAsia="zh-CN"/>
        </w:rPr>
        <w:t xml:space="preserve"> PUSCH and PUCCH </w:t>
      </w:r>
      <w:r>
        <w:rPr>
          <w:i/>
          <w:iCs/>
          <w:lang w:eastAsia="zh-CN"/>
        </w:rPr>
        <w:t xml:space="preserve">is </w:t>
      </w:r>
      <w:r w:rsidRPr="008A5EAC">
        <w:rPr>
          <w:i/>
          <w:iCs/>
          <w:lang w:eastAsia="zh-CN"/>
        </w:rPr>
        <w:t>supported</w:t>
      </w:r>
      <w:r>
        <w:rPr>
          <w:i/>
          <w:iCs/>
          <w:lang w:eastAsia="zh-CN"/>
        </w:rPr>
        <w:t>.</w:t>
      </w:r>
    </w:p>
    <w:p w14:paraId="71FFE554" w14:textId="758313E5" w:rsidR="004E4414" w:rsidRPr="009A5FAC" w:rsidRDefault="009A5FAC" w:rsidP="009A5FAC">
      <w:pPr>
        <w:jc w:val="both"/>
        <w:rPr>
          <w:i/>
          <w:iCs/>
          <w:lang w:eastAsia="zh-CN"/>
        </w:rPr>
      </w:pPr>
      <w:r w:rsidRPr="008A5EAC">
        <w:rPr>
          <w:b/>
          <w:i/>
          <w:iCs/>
          <w:lang w:eastAsia="zh-CN"/>
        </w:rPr>
        <w:t>Proposal</w:t>
      </w:r>
      <w:r w:rsidR="00745D88">
        <w:rPr>
          <w:b/>
          <w:i/>
          <w:iCs/>
          <w:lang w:eastAsia="zh-CN"/>
        </w:rPr>
        <w:t xml:space="preserve"> 22</w:t>
      </w:r>
      <w:r w:rsidRPr="008A5EAC">
        <w:rPr>
          <w:b/>
          <w:i/>
          <w:iCs/>
          <w:lang w:eastAsia="zh-CN"/>
        </w:rPr>
        <w:t>:</w:t>
      </w:r>
      <w:r w:rsidRPr="008A5EAC">
        <w:rPr>
          <w:i/>
          <w:iCs/>
          <w:lang w:eastAsia="zh-CN"/>
        </w:rPr>
        <w:t xml:space="preserve"> </w:t>
      </w:r>
      <w:r>
        <w:rPr>
          <w:i/>
          <w:iCs/>
          <w:lang w:eastAsia="zh-CN"/>
        </w:rPr>
        <w:t>Frequency domain m</w:t>
      </w:r>
      <w:r w:rsidRPr="008A5EAC">
        <w:rPr>
          <w:i/>
          <w:iCs/>
          <w:lang w:eastAsia="zh-CN"/>
        </w:rPr>
        <w:t>ultiplexing</w:t>
      </w:r>
      <w:r>
        <w:rPr>
          <w:i/>
          <w:iCs/>
          <w:lang w:eastAsia="zh-CN"/>
        </w:rPr>
        <w:t xml:space="preserve"> of SRS with</w:t>
      </w:r>
      <w:r w:rsidRPr="008A5EAC">
        <w:rPr>
          <w:i/>
          <w:iCs/>
          <w:lang w:eastAsia="zh-CN"/>
        </w:rPr>
        <w:t xml:space="preserve"> PUCCH should not cause rate matching</w:t>
      </w:r>
      <w:r>
        <w:rPr>
          <w:i/>
          <w:iCs/>
          <w:lang w:eastAsia="zh-CN"/>
        </w:rPr>
        <w:t xml:space="preserve"> for PUCCH.</w:t>
      </w:r>
    </w:p>
    <w:p w14:paraId="18BDB38E" w14:textId="4F04E75A" w:rsidR="00235652" w:rsidRPr="008A5EAC" w:rsidRDefault="00B20C2D" w:rsidP="008A5EAC">
      <w:pPr>
        <w:jc w:val="both"/>
        <w:rPr>
          <w:rFonts w:eastAsia="Times New Roman"/>
        </w:rPr>
      </w:pPr>
      <w:r w:rsidRPr="008A5EAC">
        <w:rPr>
          <w:rFonts w:eastAsia="Times New Roman"/>
        </w:rPr>
        <w:t>SRS may be transmitted by UE without any other transmissions on PUSCH or PUCCH. Hence, it should be possible for UE to perform LBT before SRS transmission. To support FDMA with PUSCH and PUCCH, this means that the LBT gap should be aligned in time for UEs transmitting SRS and UEs transmitting PUSCH or PUCCH</w:t>
      </w:r>
      <w:r w:rsidRPr="004E4414">
        <w:rPr>
          <w:rFonts w:eastAsia="Times New Roman"/>
        </w:rPr>
        <w:t>.</w:t>
      </w:r>
      <w:r w:rsidR="00103AB4" w:rsidRPr="004E4414">
        <w:rPr>
          <w:rFonts w:eastAsia="Times New Roman"/>
        </w:rPr>
        <w:t xml:space="preserve"> </w:t>
      </w:r>
      <w:r w:rsidR="004F7A96">
        <w:rPr>
          <w:rFonts w:eastAsia="Times New Roman"/>
        </w:rPr>
        <w:t>Hence, i</w:t>
      </w:r>
      <w:r w:rsidR="00103AB4" w:rsidRPr="004E4414">
        <w:rPr>
          <w:rFonts w:eastAsia="Times New Roman"/>
        </w:rPr>
        <w:t>t should be possible to configure SRS also to the beginning of slot.</w:t>
      </w:r>
      <w:r w:rsidRPr="004E4414">
        <w:rPr>
          <w:rFonts w:eastAsia="Times New Roman"/>
        </w:rPr>
        <w:t xml:space="preserve"> </w:t>
      </w:r>
      <w:r w:rsidR="00103AB4" w:rsidRPr="004E4414">
        <w:rPr>
          <w:rFonts w:eastAsia="Times New Roman"/>
        </w:rPr>
        <w:t xml:space="preserve">In Rel-15 NR, SRS may locate only in the 6 last symbols of slot, which does not provide sufficient configuration flexibility in time. </w:t>
      </w:r>
      <w:r w:rsidRPr="008A5EAC">
        <w:rPr>
          <w:rFonts w:eastAsia="Times New Roman"/>
        </w:rPr>
        <w:t xml:space="preserve"> </w:t>
      </w:r>
    </w:p>
    <w:p w14:paraId="20B2E03C" w14:textId="3060BBD1" w:rsidR="00235652" w:rsidRPr="008A5EAC" w:rsidRDefault="00103AB4" w:rsidP="008A5EAC">
      <w:pPr>
        <w:jc w:val="both"/>
        <w:rPr>
          <w:i/>
          <w:iCs/>
          <w:lang w:eastAsia="zh-CN"/>
        </w:rPr>
      </w:pPr>
      <w:r w:rsidRPr="008A5EAC">
        <w:rPr>
          <w:b/>
          <w:i/>
          <w:iCs/>
          <w:lang w:eastAsia="zh-CN"/>
        </w:rPr>
        <w:t>Proposal</w:t>
      </w:r>
      <w:r w:rsidR="00745D88">
        <w:rPr>
          <w:b/>
          <w:i/>
          <w:iCs/>
          <w:lang w:eastAsia="zh-CN"/>
        </w:rPr>
        <w:t xml:space="preserve"> 23</w:t>
      </w:r>
      <w:r w:rsidRPr="008A5EAC">
        <w:rPr>
          <w:b/>
          <w:i/>
          <w:iCs/>
          <w:lang w:eastAsia="zh-CN"/>
        </w:rPr>
        <w:t>:</w:t>
      </w:r>
      <w:r w:rsidRPr="008A5EAC">
        <w:rPr>
          <w:i/>
          <w:iCs/>
          <w:lang w:eastAsia="zh-CN"/>
        </w:rPr>
        <w:t xml:space="preserve"> </w:t>
      </w:r>
      <w:r w:rsidR="00235652" w:rsidRPr="008A5EAC">
        <w:rPr>
          <w:i/>
          <w:iCs/>
          <w:lang w:eastAsia="zh-CN"/>
        </w:rPr>
        <w:t xml:space="preserve">Configuration </w:t>
      </w:r>
      <w:r w:rsidRPr="008A5EAC">
        <w:rPr>
          <w:i/>
          <w:iCs/>
          <w:lang w:eastAsia="zh-CN"/>
        </w:rPr>
        <w:t>options for</w:t>
      </w:r>
      <w:r w:rsidR="00235652" w:rsidRPr="008A5EAC">
        <w:rPr>
          <w:i/>
          <w:iCs/>
          <w:lang w:eastAsia="zh-CN"/>
        </w:rPr>
        <w:t xml:space="preserve"> </w:t>
      </w:r>
      <w:r w:rsidR="00235652" w:rsidRPr="009A5FAC">
        <w:rPr>
          <w:i/>
          <w:iCs/>
          <w:lang w:eastAsia="zh-CN"/>
        </w:rPr>
        <w:t xml:space="preserve">SRS </w:t>
      </w:r>
      <w:r w:rsidRPr="009A5FAC">
        <w:rPr>
          <w:i/>
          <w:iCs/>
          <w:lang w:eastAsia="zh-CN"/>
        </w:rPr>
        <w:t>symbol(s)</w:t>
      </w:r>
      <w:r w:rsidRPr="008A5EAC">
        <w:rPr>
          <w:b/>
          <w:i/>
          <w:iCs/>
          <w:lang w:eastAsia="zh-CN"/>
        </w:rPr>
        <w:t xml:space="preserve"> </w:t>
      </w:r>
      <w:r w:rsidR="00235652" w:rsidRPr="008A5EAC">
        <w:rPr>
          <w:i/>
          <w:iCs/>
          <w:lang w:eastAsia="zh-CN"/>
        </w:rPr>
        <w:t>loca</w:t>
      </w:r>
      <w:r w:rsidRPr="008A5EAC">
        <w:rPr>
          <w:i/>
          <w:iCs/>
          <w:lang w:eastAsia="zh-CN"/>
        </w:rPr>
        <w:t>tion within a slot are increased</w:t>
      </w:r>
      <w:r w:rsidR="00235652" w:rsidRPr="008A5EAC">
        <w:rPr>
          <w:i/>
          <w:iCs/>
          <w:lang w:eastAsia="zh-CN"/>
        </w:rPr>
        <w:t xml:space="preserve"> to allow </w:t>
      </w:r>
      <w:r w:rsidR="009A5FAC">
        <w:rPr>
          <w:i/>
          <w:iCs/>
          <w:lang w:eastAsia="zh-CN"/>
        </w:rPr>
        <w:t xml:space="preserve">time </w:t>
      </w:r>
      <w:r w:rsidR="00235652" w:rsidRPr="008A5EAC">
        <w:rPr>
          <w:i/>
          <w:iCs/>
          <w:lang w:eastAsia="zh-CN"/>
        </w:rPr>
        <w:t>alignment with PUSCH</w:t>
      </w:r>
      <w:r w:rsidRPr="008A5EAC">
        <w:rPr>
          <w:i/>
          <w:iCs/>
          <w:lang w:eastAsia="zh-CN"/>
        </w:rPr>
        <w:t>/PUCCH</w:t>
      </w:r>
      <w:r w:rsidR="00235652" w:rsidRPr="008A5EAC">
        <w:rPr>
          <w:i/>
          <w:iCs/>
          <w:lang w:eastAsia="zh-CN"/>
        </w:rPr>
        <w:t xml:space="preserve"> LBT gaps and beginning of UL </w:t>
      </w:r>
      <w:r w:rsidR="00D472E2">
        <w:rPr>
          <w:i/>
          <w:iCs/>
          <w:lang w:eastAsia="zh-CN"/>
        </w:rPr>
        <w:t xml:space="preserve">portion of </w:t>
      </w:r>
      <w:r w:rsidR="00235652" w:rsidRPr="008A5EAC">
        <w:rPr>
          <w:i/>
          <w:iCs/>
          <w:lang w:eastAsia="zh-CN"/>
        </w:rPr>
        <w:t>COT</w:t>
      </w:r>
    </w:p>
    <w:p w14:paraId="0D827FAF" w14:textId="5F0DBCB1" w:rsidR="0034111C" w:rsidRPr="00A51522" w:rsidRDefault="00D61E9A">
      <w:pPr>
        <w:pStyle w:val="Heading1"/>
        <w:rPr>
          <w:color w:val="000000"/>
        </w:rPr>
      </w:pPr>
      <w:r>
        <w:rPr>
          <w:color w:val="000000"/>
        </w:rPr>
        <w:t>6</w:t>
      </w:r>
      <w:r w:rsidR="00F30C74">
        <w:rPr>
          <w:color w:val="000000"/>
        </w:rPr>
        <w:t xml:space="preserve">. </w:t>
      </w:r>
      <w:r w:rsidR="00EE7FA7" w:rsidRPr="00A51522">
        <w:rPr>
          <w:color w:val="000000"/>
        </w:rPr>
        <w:t>Conclusion</w:t>
      </w:r>
      <w:r w:rsidR="00DB39D4" w:rsidRPr="00A51522">
        <w:rPr>
          <w:color w:val="000000"/>
        </w:rPr>
        <w:t>s</w:t>
      </w:r>
    </w:p>
    <w:p w14:paraId="5EC69E1D" w14:textId="0A2C51CC" w:rsidR="00D61E9A" w:rsidRPr="006322D1" w:rsidRDefault="00D61E9A" w:rsidP="006322D1">
      <w:pPr>
        <w:spacing w:after="240"/>
        <w:jc w:val="both"/>
      </w:pPr>
      <w:r w:rsidRPr="00A51522">
        <w:t>In this contribution</w:t>
      </w:r>
      <w:r>
        <w:t>,</w:t>
      </w:r>
      <w:r w:rsidRPr="00A51522">
        <w:t xml:space="preserve"> we have discussed </w:t>
      </w:r>
      <w:r w:rsidRPr="00447088">
        <w:rPr>
          <w:lang w:val="en-US" w:eastAsia="fi-FI"/>
        </w:rPr>
        <w:t>potential solutions and techniques for NR unlicensed</w:t>
      </w:r>
      <w:r w:rsidR="00DD0C7F" w:rsidRPr="00DD0C7F">
        <w:rPr>
          <w:lang w:val="en-US" w:eastAsia="fi-FI"/>
        </w:rPr>
        <w:t xml:space="preserve"> </w:t>
      </w:r>
      <w:r w:rsidR="00DD0C7F" w:rsidRPr="00447088">
        <w:rPr>
          <w:lang w:val="en-US" w:eastAsia="fi-FI"/>
        </w:rPr>
        <w:t xml:space="preserve">uplink signal and channel </w:t>
      </w:r>
      <w:r w:rsidR="00DD0C7F" w:rsidRPr="006322D1">
        <w:rPr>
          <w:lang w:val="en-US" w:eastAsia="fi-FI"/>
        </w:rPr>
        <w:t>structures</w:t>
      </w:r>
      <w:r w:rsidR="00DD0C7F" w:rsidRPr="006322D1">
        <w:rPr>
          <w:lang w:eastAsia="fi-FI"/>
        </w:rPr>
        <w:t xml:space="preserve"> for PUSCH, PUCCH, and PRACH.</w:t>
      </w:r>
      <w:r w:rsidRPr="006322D1">
        <w:t xml:space="preserve"> Based on the discussion, we make the following observations and proposals:</w:t>
      </w:r>
    </w:p>
    <w:p w14:paraId="1C1F44E4" w14:textId="76A2960C" w:rsidR="00FA03EB" w:rsidRPr="006322D1" w:rsidRDefault="00FA03EB" w:rsidP="006322D1">
      <w:pPr>
        <w:spacing w:after="120"/>
        <w:rPr>
          <w:b/>
          <w:bCs/>
          <w:i/>
          <w:iCs/>
          <w:lang w:val="en-US"/>
        </w:rPr>
      </w:pPr>
      <w:r w:rsidRPr="006322D1">
        <w:rPr>
          <w:b/>
        </w:rPr>
        <w:t>UL waveform and resource allocation in frequency</w:t>
      </w:r>
    </w:p>
    <w:p w14:paraId="0221146A" w14:textId="3DA272EA" w:rsidR="00FA03EB" w:rsidRPr="006322D1" w:rsidRDefault="00FA03EB" w:rsidP="006322D1">
      <w:pPr>
        <w:spacing w:after="120"/>
        <w:jc w:val="both"/>
        <w:rPr>
          <w:i/>
          <w:iCs/>
          <w:lang w:val="en-US"/>
        </w:rPr>
      </w:pPr>
      <w:r w:rsidRPr="006322D1">
        <w:rPr>
          <w:b/>
          <w:bCs/>
          <w:i/>
          <w:iCs/>
          <w:lang w:val="en-US"/>
        </w:rPr>
        <w:t xml:space="preserve">Proposal 1: </w:t>
      </w:r>
      <w:r w:rsidRPr="006322D1">
        <w:rPr>
          <w:i/>
          <w:iCs/>
          <w:lang w:val="en-US"/>
        </w:rPr>
        <w:t>Consider CP-OFDM as the primary uplink waveform for NR-U.</w:t>
      </w:r>
    </w:p>
    <w:p w14:paraId="583D84D0" w14:textId="42CA582E" w:rsidR="00FA03EB" w:rsidRPr="006322D1" w:rsidRDefault="00FA03EB" w:rsidP="006322D1">
      <w:pPr>
        <w:spacing w:after="240"/>
        <w:jc w:val="both"/>
        <w:rPr>
          <w:rFonts w:eastAsia="Arial"/>
          <w:i/>
          <w:iCs/>
          <w:lang w:val="en-US"/>
        </w:rPr>
      </w:pPr>
      <w:r w:rsidRPr="006322D1">
        <w:rPr>
          <w:b/>
          <w:bCs/>
          <w:i/>
          <w:iCs/>
          <w:lang w:val="en-US"/>
        </w:rPr>
        <w:t xml:space="preserve">Proposal 2: </w:t>
      </w:r>
      <w:r w:rsidRPr="006322D1">
        <w:rPr>
          <w:i/>
          <w:iCs/>
          <w:lang w:val="en-US"/>
        </w:rPr>
        <w:t>Consider almost-contiguous allocation based on Uplink resource allocation type 0 as one of the supported frequency domain resource allocation schemes for NR-U.</w:t>
      </w:r>
    </w:p>
    <w:p w14:paraId="7938391D" w14:textId="0FF70E1B" w:rsidR="00DD0C7F" w:rsidRPr="006322D1" w:rsidRDefault="00FA03EB" w:rsidP="006322D1">
      <w:pPr>
        <w:spacing w:after="120"/>
        <w:jc w:val="both"/>
        <w:rPr>
          <w:b/>
        </w:rPr>
      </w:pPr>
      <w:r w:rsidRPr="006322D1">
        <w:rPr>
          <w:b/>
        </w:rPr>
        <w:t>NR interlace structures</w:t>
      </w:r>
    </w:p>
    <w:p w14:paraId="2A402D37" w14:textId="77777777" w:rsidR="00FA03EB" w:rsidRPr="006322D1" w:rsidRDefault="00FA03EB" w:rsidP="006322D1">
      <w:pPr>
        <w:spacing w:after="120"/>
        <w:jc w:val="both"/>
        <w:rPr>
          <w:i/>
          <w:iCs/>
          <w:lang w:val="en-US"/>
        </w:rPr>
      </w:pPr>
      <w:r w:rsidRPr="006322D1">
        <w:rPr>
          <w:b/>
          <w:bCs/>
          <w:i/>
          <w:iCs/>
          <w:lang w:val="en-US"/>
        </w:rPr>
        <w:t xml:space="preserve">Proposal 3: </w:t>
      </w:r>
      <w:r w:rsidRPr="006322D1">
        <w:rPr>
          <w:i/>
          <w:iCs/>
          <w:lang w:val="en-US"/>
        </w:rPr>
        <w:t>NR interlace structure is designed for 20 MHz sub-band.</w:t>
      </w:r>
    </w:p>
    <w:p w14:paraId="23CA8893" w14:textId="25E8D1DA" w:rsidR="00F074DA" w:rsidRPr="006322D1" w:rsidRDefault="00F074DA" w:rsidP="006322D1">
      <w:pPr>
        <w:spacing w:after="120"/>
        <w:jc w:val="both"/>
        <w:rPr>
          <w:i/>
          <w:iCs/>
          <w:lang w:val="en-US"/>
        </w:rPr>
      </w:pPr>
      <w:r w:rsidRPr="006322D1">
        <w:rPr>
          <w:b/>
          <w:bCs/>
          <w:i/>
          <w:iCs/>
          <w:lang w:val="en-US"/>
        </w:rPr>
        <w:t xml:space="preserve">Proposal 4: </w:t>
      </w:r>
      <w:r w:rsidRPr="006322D1">
        <w:rPr>
          <w:i/>
          <w:iCs/>
          <w:lang w:val="en-US"/>
        </w:rPr>
        <w:t>For 60 kHz subcarrier spacing, support interlace structure where cluster size is a fraction of PRB.</w:t>
      </w:r>
    </w:p>
    <w:p w14:paraId="2BE63683" w14:textId="77777777" w:rsidR="00F074DA" w:rsidRPr="006322D1" w:rsidRDefault="00F074DA" w:rsidP="006322D1">
      <w:pPr>
        <w:spacing w:after="0"/>
        <w:jc w:val="both"/>
        <w:rPr>
          <w:i/>
          <w:iCs/>
          <w:lang w:val="en-US"/>
        </w:rPr>
      </w:pPr>
      <w:r w:rsidRPr="006322D1">
        <w:rPr>
          <w:b/>
          <w:bCs/>
          <w:i/>
          <w:iCs/>
          <w:lang w:val="en-US"/>
        </w:rPr>
        <w:t xml:space="preserve">Proposal 5: </w:t>
      </w:r>
      <w:r w:rsidRPr="006322D1">
        <w:rPr>
          <w:i/>
          <w:iCs/>
          <w:lang w:val="en-US"/>
        </w:rPr>
        <w:t>Supports the following interlace structures for NR-U operating at 5 GHz spectrum and 20 MHz sub-band:</w:t>
      </w:r>
    </w:p>
    <w:p w14:paraId="39C60187" w14:textId="77777777" w:rsidR="00F074DA" w:rsidRPr="006322D1" w:rsidRDefault="00F074DA" w:rsidP="006322D1">
      <w:pPr>
        <w:pStyle w:val="ListParagraph"/>
        <w:numPr>
          <w:ilvl w:val="0"/>
          <w:numId w:val="42"/>
        </w:numPr>
        <w:spacing w:after="120"/>
        <w:jc w:val="both"/>
        <w:rPr>
          <w:i/>
          <w:iCs/>
          <w:sz w:val="20"/>
          <w:szCs w:val="20"/>
          <w:lang w:val="en-US"/>
        </w:rPr>
      </w:pPr>
      <w:r w:rsidRPr="006322D1">
        <w:rPr>
          <w:i/>
          <w:iCs/>
          <w:sz w:val="20"/>
          <w:szCs w:val="20"/>
          <w:lang w:val="en-US"/>
        </w:rPr>
        <w:t>15 kHz: 10 interlaces (M=10), each having 10 (N=10) equally-spaced clusters of 180 kHz (12 REs)</w:t>
      </w:r>
    </w:p>
    <w:p w14:paraId="7C356BE2" w14:textId="77777777" w:rsidR="00F074DA" w:rsidRPr="006322D1" w:rsidRDefault="00F074DA" w:rsidP="006322D1">
      <w:pPr>
        <w:pStyle w:val="ListParagraph"/>
        <w:numPr>
          <w:ilvl w:val="0"/>
          <w:numId w:val="42"/>
        </w:numPr>
        <w:spacing w:after="120"/>
        <w:jc w:val="both"/>
        <w:rPr>
          <w:i/>
          <w:iCs/>
          <w:sz w:val="20"/>
          <w:szCs w:val="20"/>
          <w:lang w:val="en-US"/>
        </w:rPr>
      </w:pPr>
      <w:r w:rsidRPr="006322D1">
        <w:rPr>
          <w:i/>
          <w:iCs/>
          <w:sz w:val="20"/>
          <w:szCs w:val="20"/>
          <w:lang w:val="en-US"/>
        </w:rPr>
        <w:t>30 kHz: 5 interlaces (M=5), each having 10 (N=10) equally-spaced clusters of 360 kHz (12 REs)</w:t>
      </w:r>
    </w:p>
    <w:p w14:paraId="2878C71F" w14:textId="77777777" w:rsidR="00F074DA" w:rsidRPr="006322D1" w:rsidRDefault="00F074DA" w:rsidP="006322D1">
      <w:pPr>
        <w:pStyle w:val="ListParagraph"/>
        <w:numPr>
          <w:ilvl w:val="0"/>
          <w:numId w:val="42"/>
        </w:numPr>
        <w:spacing w:after="120"/>
        <w:jc w:val="both"/>
        <w:rPr>
          <w:i/>
          <w:iCs/>
          <w:sz w:val="20"/>
          <w:szCs w:val="20"/>
          <w:lang w:val="en-US"/>
        </w:rPr>
      </w:pPr>
      <w:r w:rsidRPr="006322D1">
        <w:rPr>
          <w:i/>
          <w:iCs/>
          <w:sz w:val="20"/>
          <w:szCs w:val="20"/>
          <w:lang w:val="en-US"/>
        </w:rPr>
        <w:t xml:space="preserve">60 kHz: 5 interlaces (M=5), each having 10 (N=10) equally-spaced clusters of 360 kHz (6 REs) </w:t>
      </w:r>
    </w:p>
    <w:p w14:paraId="2F5D6DF1" w14:textId="77777777" w:rsidR="00F074DA" w:rsidRPr="006322D1" w:rsidRDefault="00F074DA" w:rsidP="006322D1">
      <w:pPr>
        <w:spacing w:after="120"/>
        <w:jc w:val="both"/>
        <w:rPr>
          <w:i/>
          <w:iCs/>
          <w:lang w:val="en-US"/>
        </w:rPr>
      </w:pPr>
      <w:r w:rsidRPr="006322D1">
        <w:rPr>
          <w:b/>
          <w:bCs/>
          <w:i/>
          <w:iCs/>
          <w:lang w:val="en-US"/>
        </w:rPr>
        <w:t xml:space="preserve">Proposal 6: </w:t>
      </w:r>
      <w:r w:rsidRPr="006322D1">
        <w:rPr>
          <w:i/>
          <w:iCs/>
          <w:lang w:val="en-US"/>
        </w:rPr>
        <w:t>The number of resource elements per sub-PRB interlace should be multiple of 12.</w:t>
      </w:r>
    </w:p>
    <w:p w14:paraId="2E4F75CB" w14:textId="77777777" w:rsidR="00F074DA" w:rsidRPr="006322D1" w:rsidRDefault="00F074DA" w:rsidP="006322D1">
      <w:pPr>
        <w:spacing w:after="120"/>
        <w:jc w:val="both"/>
        <w:rPr>
          <w:i/>
          <w:iCs/>
          <w:lang w:val="en-US"/>
        </w:rPr>
      </w:pPr>
      <w:r w:rsidRPr="006322D1">
        <w:rPr>
          <w:b/>
          <w:bCs/>
          <w:i/>
          <w:iCs/>
          <w:lang w:val="en-US"/>
        </w:rPr>
        <w:t xml:space="preserve">Proposal 7: </w:t>
      </w:r>
      <w:r w:rsidRPr="006322D1">
        <w:rPr>
          <w:i/>
          <w:iCs/>
          <w:lang w:val="en-US"/>
        </w:rPr>
        <w:t>Compared to legacy LTE/NR, NR-U should not introduce new DFT size options for DFT-S-OFDM.</w:t>
      </w:r>
    </w:p>
    <w:p w14:paraId="42584E74" w14:textId="77777777" w:rsidR="00F074DA" w:rsidRPr="006322D1" w:rsidRDefault="00F074DA" w:rsidP="006322D1">
      <w:pPr>
        <w:spacing w:after="120"/>
        <w:jc w:val="both"/>
        <w:rPr>
          <w:i/>
          <w:iCs/>
          <w:lang w:val="en-US"/>
        </w:rPr>
      </w:pPr>
      <w:r w:rsidRPr="006322D1">
        <w:rPr>
          <w:b/>
          <w:bCs/>
          <w:i/>
          <w:iCs/>
          <w:lang w:val="en-US"/>
        </w:rPr>
        <w:t xml:space="preserve">Proposal 8: </w:t>
      </w:r>
      <w:r w:rsidRPr="006322D1">
        <w:rPr>
          <w:i/>
          <w:iCs/>
          <w:lang w:val="en-US"/>
        </w:rPr>
        <w:t>Ask RAN4 to investigate the feasibility of non-uniform interlace structure for PUSCH.</w:t>
      </w:r>
    </w:p>
    <w:p w14:paraId="63FCA7B9" w14:textId="7AC2F444" w:rsidR="006322D1" w:rsidRPr="006322D1" w:rsidRDefault="006322D1" w:rsidP="006322D1">
      <w:pPr>
        <w:spacing w:after="120"/>
        <w:jc w:val="both"/>
        <w:rPr>
          <w:i/>
          <w:iCs/>
          <w:lang w:val="en-US"/>
        </w:rPr>
      </w:pPr>
      <w:r w:rsidRPr="006322D1">
        <w:rPr>
          <w:b/>
          <w:bCs/>
          <w:i/>
          <w:iCs/>
          <w:lang w:val="en-US"/>
        </w:rPr>
        <w:t xml:space="preserve">Proposal 9: </w:t>
      </w:r>
      <w:r w:rsidRPr="006322D1">
        <w:rPr>
          <w:i/>
          <w:iCs/>
          <w:lang w:val="en-US"/>
        </w:rPr>
        <w:t>Support uniform interlace structure at least for PUCCH.</w:t>
      </w:r>
    </w:p>
    <w:p w14:paraId="3966ABE9" w14:textId="07733852" w:rsidR="00F074DA" w:rsidRPr="006322D1" w:rsidRDefault="006322D1" w:rsidP="006322D1">
      <w:pPr>
        <w:spacing w:after="240"/>
        <w:jc w:val="both"/>
        <w:rPr>
          <w:lang w:val="en-US"/>
        </w:rPr>
      </w:pPr>
      <w:r w:rsidRPr="006322D1">
        <w:rPr>
          <w:b/>
          <w:bCs/>
          <w:i/>
          <w:iCs/>
          <w:lang w:val="en-US"/>
        </w:rPr>
        <w:t xml:space="preserve">Proposal 10: </w:t>
      </w:r>
      <w:r w:rsidRPr="006322D1">
        <w:rPr>
          <w:i/>
          <w:iCs/>
          <w:lang w:val="en-US"/>
        </w:rPr>
        <w:t>Consider support for flexible interlace bandwidth.</w:t>
      </w:r>
    </w:p>
    <w:p w14:paraId="35DA4916" w14:textId="77777777" w:rsidR="00F074DA" w:rsidRPr="006322D1" w:rsidRDefault="00F074DA" w:rsidP="006322D1">
      <w:pPr>
        <w:spacing w:after="120"/>
        <w:jc w:val="both"/>
        <w:rPr>
          <w:i/>
          <w:iCs/>
          <w:lang w:val="en-US"/>
        </w:rPr>
      </w:pPr>
      <w:r w:rsidRPr="006322D1">
        <w:rPr>
          <w:b/>
          <w:bCs/>
          <w:i/>
          <w:iCs/>
          <w:lang w:val="en-US"/>
        </w:rPr>
        <w:t xml:space="preserve">Observation 1: </w:t>
      </w:r>
      <w:r w:rsidRPr="006322D1">
        <w:rPr>
          <w:i/>
          <w:iCs/>
          <w:lang w:val="en-US"/>
        </w:rPr>
        <w:t xml:space="preserve">PUSCH DMRS defined for DFT-S-OFDM supports sub-PRB interlace. </w:t>
      </w:r>
    </w:p>
    <w:p w14:paraId="1232A8BD" w14:textId="77777777" w:rsidR="00F074DA" w:rsidRPr="006322D1" w:rsidRDefault="00F074DA" w:rsidP="006322D1">
      <w:pPr>
        <w:spacing w:after="120"/>
        <w:jc w:val="both"/>
        <w:rPr>
          <w:i/>
          <w:iCs/>
          <w:lang w:val="en-US"/>
        </w:rPr>
      </w:pPr>
      <w:r w:rsidRPr="006322D1">
        <w:rPr>
          <w:b/>
          <w:bCs/>
          <w:i/>
          <w:iCs/>
          <w:lang w:val="en-US"/>
        </w:rPr>
        <w:t xml:space="preserve">Observation 2: </w:t>
      </w:r>
      <w:r w:rsidRPr="006322D1">
        <w:rPr>
          <w:i/>
          <w:iCs/>
          <w:lang w:val="en-US"/>
        </w:rPr>
        <w:t>PUSCH Type-2 DMRS defined for CP-OFDM supports sub-PRB interlace with reduced number of DMRS antenna ports.</w:t>
      </w:r>
    </w:p>
    <w:p w14:paraId="3C8002AC" w14:textId="77777777" w:rsidR="00F074DA" w:rsidRPr="006322D1" w:rsidRDefault="00F074DA" w:rsidP="006322D1">
      <w:pPr>
        <w:spacing w:after="120"/>
        <w:jc w:val="both"/>
        <w:rPr>
          <w:i/>
          <w:iCs/>
          <w:lang w:val="en-US"/>
        </w:rPr>
      </w:pPr>
      <w:r w:rsidRPr="006322D1">
        <w:rPr>
          <w:b/>
          <w:bCs/>
          <w:i/>
          <w:iCs/>
          <w:lang w:val="en-US"/>
        </w:rPr>
        <w:t xml:space="preserve">Observation 3: </w:t>
      </w:r>
      <w:r w:rsidRPr="006322D1">
        <w:rPr>
          <w:i/>
          <w:iCs/>
          <w:lang w:val="en-US"/>
        </w:rPr>
        <w:t>PUSCH Type-2 DMRS defined for CP-OFDM supports sub-PRB interlace.</w:t>
      </w:r>
    </w:p>
    <w:p w14:paraId="15B42966" w14:textId="77777777" w:rsidR="00F074DA" w:rsidRPr="006322D1" w:rsidRDefault="00F074DA" w:rsidP="006322D1">
      <w:pPr>
        <w:spacing w:after="120"/>
        <w:jc w:val="both"/>
      </w:pPr>
      <w:r w:rsidRPr="006322D1">
        <w:rPr>
          <w:b/>
          <w:bCs/>
          <w:i/>
          <w:iCs/>
          <w:lang w:val="en-US"/>
        </w:rPr>
        <w:t xml:space="preserve">Observation 4: </w:t>
      </w:r>
      <w:r w:rsidRPr="006322D1">
        <w:rPr>
          <w:i/>
          <w:iCs/>
          <w:lang w:val="en-US"/>
        </w:rPr>
        <w:t>Sub-PRB interlace with 6 REs per cluster supports sufficient channel estimation.</w:t>
      </w:r>
      <w:r w:rsidRPr="006322D1">
        <w:t xml:space="preserve">  </w:t>
      </w:r>
    </w:p>
    <w:p w14:paraId="4D59E5AE" w14:textId="77777777" w:rsidR="00F074DA" w:rsidRPr="006322D1" w:rsidRDefault="00F074DA" w:rsidP="006322D1">
      <w:pPr>
        <w:spacing w:after="120"/>
        <w:jc w:val="both"/>
        <w:rPr>
          <w:i/>
          <w:iCs/>
          <w:lang w:val="en-US"/>
        </w:rPr>
      </w:pPr>
      <w:r w:rsidRPr="006322D1">
        <w:rPr>
          <w:b/>
          <w:bCs/>
          <w:i/>
          <w:iCs/>
          <w:lang w:val="en-US"/>
        </w:rPr>
        <w:t xml:space="preserve">Observation 5: </w:t>
      </w:r>
      <w:r w:rsidRPr="006322D1">
        <w:rPr>
          <w:i/>
          <w:iCs/>
          <w:lang w:val="en-US"/>
        </w:rPr>
        <w:t>Non-uniform interlace structure is not compatible with DFT-S-OFDM.</w:t>
      </w:r>
    </w:p>
    <w:p w14:paraId="0CCD2B17" w14:textId="77777777" w:rsidR="00F074DA" w:rsidRPr="006322D1" w:rsidRDefault="00F074DA" w:rsidP="006322D1">
      <w:pPr>
        <w:spacing w:after="240"/>
        <w:jc w:val="both"/>
        <w:rPr>
          <w:b/>
          <w:bCs/>
          <w:i/>
          <w:iCs/>
          <w:lang w:val="en-US"/>
        </w:rPr>
      </w:pPr>
      <w:r w:rsidRPr="006322D1">
        <w:rPr>
          <w:b/>
          <w:bCs/>
          <w:i/>
          <w:iCs/>
          <w:lang w:val="en-US"/>
        </w:rPr>
        <w:t xml:space="preserve">Observation 6: </w:t>
      </w:r>
      <w:r w:rsidRPr="006322D1">
        <w:rPr>
          <w:i/>
          <w:iCs/>
          <w:lang w:val="en-US"/>
        </w:rPr>
        <w:t xml:space="preserve">Non-uniform interlace structure provides only marginal improvement for </w:t>
      </w:r>
      <w:r w:rsidRPr="006322D1">
        <w:rPr>
          <w:rFonts w:eastAsia="Yu Mincho"/>
          <w:i/>
        </w:rPr>
        <w:t>30 kHz SCS and 60 kHz SCS.</w:t>
      </w:r>
    </w:p>
    <w:p w14:paraId="13E4D4FD" w14:textId="5519E7CD" w:rsidR="00FA03EB" w:rsidRPr="006322D1" w:rsidRDefault="00F074DA" w:rsidP="006322D1">
      <w:pPr>
        <w:spacing w:after="120"/>
        <w:jc w:val="both"/>
        <w:rPr>
          <w:b/>
          <w:bCs/>
          <w:lang w:val="en-US"/>
        </w:rPr>
      </w:pPr>
      <w:r w:rsidRPr="006322D1">
        <w:rPr>
          <w:b/>
          <w:bCs/>
          <w:lang w:val="en-US"/>
        </w:rPr>
        <w:t>PUCCH</w:t>
      </w:r>
    </w:p>
    <w:p w14:paraId="5BE94AA2" w14:textId="77777777" w:rsidR="00F074DA" w:rsidRPr="006322D1" w:rsidRDefault="00F074DA" w:rsidP="006322D1">
      <w:pPr>
        <w:keepNext/>
        <w:spacing w:after="120"/>
        <w:jc w:val="both"/>
        <w:rPr>
          <w:i/>
          <w:iCs/>
        </w:rPr>
      </w:pPr>
      <w:r w:rsidRPr="006322D1">
        <w:rPr>
          <w:b/>
          <w:bCs/>
          <w:i/>
          <w:iCs/>
        </w:rPr>
        <w:t xml:space="preserve">Observation 7: </w:t>
      </w:r>
      <w:r w:rsidRPr="006322D1">
        <w:rPr>
          <w:bCs/>
          <w:i/>
          <w:iCs/>
        </w:rPr>
        <w:t xml:space="preserve">NR-U B-IFDMA PUCCH should efficiently support a wide range of UCI payloads with efficient user multiplexing and suitable DMRS overhead for different payloads. </w:t>
      </w:r>
      <w:r w:rsidRPr="006322D1">
        <w:rPr>
          <w:i/>
          <w:iCs/>
        </w:rPr>
        <w:t xml:space="preserve"> </w:t>
      </w:r>
    </w:p>
    <w:p w14:paraId="1FE111AE" w14:textId="60D7B855" w:rsidR="00F074DA" w:rsidRDefault="00F074DA" w:rsidP="006322D1">
      <w:pPr>
        <w:keepNext/>
        <w:spacing w:after="120"/>
        <w:jc w:val="both"/>
        <w:rPr>
          <w:bCs/>
          <w:i/>
          <w:iCs/>
        </w:rPr>
      </w:pPr>
      <w:r w:rsidRPr="006322D1">
        <w:rPr>
          <w:b/>
          <w:bCs/>
          <w:i/>
          <w:iCs/>
        </w:rPr>
        <w:t xml:space="preserve">Observation 8: </w:t>
      </w:r>
      <w:r w:rsidRPr="006322D1">
        <w:rPr>
          <w:bCs/>
          <w:i/>
          <w:iCs/>
        </w:rPr>
        <w:t>NR-U B-IFDMA PUCCH design should strive for commonality with Rel-15 NR PUCCH design.</w:t>
      </w:r>
    </w:p>
    <w:p w14:paraId="53B2FD3B" w14:textId="77777777" w:rsidR="006322D1" w:rsidRPr="006322D1" w:rsidRDefault="006322D1" w:rsidP="006322D1">
      <w:pPr>
        <w:keepNext/>
        <w:spacing w:after="120"/>
        <w:jc w:val="both"/>
        <w:rPr>
          <w:i/>
          <w:iCs/>
        </w:rPr>
      </w:pPr>
      <w:r w:rsidRPr="006322D1">
        <w:rPr>
          <w:b/>
          <w:bCs/>
          <w:i/>
          <w:iCs/>
        </w:rPr>
        <w:t xml:space="preserve">Observation 9: </w:t>
      </w:r>
      <w:r w:rsidRPr="006322D1">
        <w:rPr>
          <w:bCs/>
          <w:i/>
          <w:iCs/>
        </w:rPr>
        <w:t>Transmission format for 1-2 bit UCI payloads defines NR-U PUCCH coverage.</w:t>
      </w:r>
    </w:p>
    <w:p w14:paraId="14A9A3A4" w14:textId="77777777" w:rsidR="006322D1" w:rsidRPr="006322D1" w:rsidRDefault="006322D1" w:rsidP="006322D1">
      <w:pPr>
        <w:keepNext/>
        <w:spacing w:after="240"/>
        <w:jc w:val="both"/>
        <w:rPr>
          <w:i/>
          <w:iCs/>
        </w:rPr>
      </w:pPr>
      <w:r w:rsidRPr="006322D1">
        <w:rPr>
          <w:b/>
          <w:bCs/>
          <w:i/>
          <w:iCs/>
        </w:rPr>
        <w:t xml:space="preserve">Observation 10: </w:t>
      </w:r>
      <w:r w:rsidRPr="006322D1">
        <w:rPr>
          <w:bCs/>
          <w:i/>
          <w:iCs/>
        </w:rPr>
        <w:t>Efficient user multiplexing is needed for SR transmission.</w:t>
      </w:r>
    </w:p>
    <w:p w14:paraId="4EC76D25" w14:textId="76D87910" w:rsidR="006322D1" w:rsidRPr="006322D1" w:rsidRDefault="006322D1" w:rsidP="006322D1">
      <w:pPr>
        <w:keepNext/>
        <w:spacing w:after="120"/>
        <w:jc w:val="both"/>
        <w:rPr>
          <w:i/>
          <w:iCs/>
        </w:rPr>
      </w:pPr>
      <w:r w:rsidRPr="006322D1">
        <w:rPr>
          <w:b/>
          <w:bCs/>
          <w:i/>
          <w:iCs/>
        </w:rPr>
        <w:t xml:space="preserve">Proposal 11: </w:t>
      </w:r>
      <w:r w:rsidRPr="006322D1">
        <w:rPr>
          <w:bCs/>
          <w:i/>
          <w:iCs/>
        </w:rPr>
        <w:t xml:space="preserve">For NR-U, only </w:t>
      </w:r>
      <w:r w:rsidRPr="006322D1">
        <w:rPr>
          <w:i/>
          <w:iCs/>
        </w:rPr>
        <w:t xml:space="preserve">PUCCH formats 2 and 3 are supported with contiguous waveform.  </w:t>
      </w:r>
    </w:p>
    <w:p w14:paraId="186FF81C" w14:textId="77777777" w:rsidR="00F074DA" w:rsidRPr="006322D1" w:rsidRDefault="00F074DA" w:rsidP="006322D1">
      <w:pPr>
        <w:keepNext/>
        <w:spacing w:after="120"/>
        <w:jc w:val="both"/>
      </w:pPr>
      <w:r w:rsidRPr="006322D1">
        <w:rPr>
          <w:b/>
          <w:bCs/>
          <w:i/>
          <w:iCs/>
        </w:rPr>
        <w:t xml:space="preserve">Proposal 12: </w:t>
      </w:r>
      <w:r w:rsidRPr="006322D1">
        <w:rPr>
          <w:bCs/>
          <w:i/>
          <w:iCs/>
        </w:rPr>
        <w:t>For NR-U, both short and long B-IFDMA PUCCH are supported.</w:t>
      </w:r>
    </w:p>
    <w:p w14:paraId="572E399C" w14:textId="77777777" w:rsidR="00F074DA" w:rsidRPr="006322D1" w:rsidRDefault="00F074DA" w:rsidP="006322D1">
      <w:pPr>
        <w:keepNext/>
        <w:spacing w:after="120"/>
        <w:jc w:val="both"/>
        <w:rPr>
          <w:bCs/>
          <w:i/>
          <w:iCs/>
        </w:rPr>
      </w:pPr>
      <w:r w:rsidRPr="006322D1">
        <w:rPr>
          <w:b/>
          <w:bCs/>
          <w:i/>
          <w:iCs/>
        </w:rPr>
        <w:t xml:space="preserve">Proposal 13: </w:t>
      </w:r>
      <w:r w:rsidRPr="006322D1">
        <w:rPr>
          <w:bCs/>
          <w:i/>
          <w:iCs/>
        </w:rPr>
        <w:t>NR-U short B-IFDMA PUCCH for above 2-bit payloads applies FDM between data and reference signal.</w:t>
      </w:r>
    </w:p>
    <w:p w14:paraId="73D7B427" w14:textId="77777777" w:rsidR="00F074DA" w:rsidRPr="006322D1" w:rsidRDefault="00F074DA" w:rsidP="006322D1">
      <w:pPr>
        <w:keepNext/>
        <w:spacing w:after="120"/>
        <w:jc w:val="both"/>
        <w:rPr>
          <w:bCs/>
          <w:i/>
          <w:iCs/>
        </w:rPr>
      </w:pPr>
      <w:r w:rsidRPr="006322D1">
        <w:rPr>
          <w:b/>
          <w:bCs/>
          <w:i/>
          <w:iCs/>
        </w:rPr>
        <w:t xml:space="preserve">Proposal 14: </w:t>
      </w:r>
      <w:r w:rsidRPr="006322D1">
        <w:rPr>
          <w:bCs/>
          <w:i/>
          <w:iCs/>
        </w:rPr>
        <w:t>NR-U long B-IFDMA PUCCH for above 2-bit payloads applies TDM between data and reference signal.</w:t>
      </w:r>
    </w:p>
    <w:p w14:paraId="3CF91D9F" w14:textId="77777777" w:rsidR="00F074DA" w:rsidRPr="006322D1" w:rsidRDefault="00F074DA" w:rsidP="006322D1">
      <w:pPr>
        <w:keepNext/>
        <w:spacing w:after="120"/>
        <w:jc w:val="both"/>
      </w:pPr>
      <w:r w:rsidRPr="006322D1">
        <w:rPr>
          <w:b/>
          <w:bCs/>
          <w:i/>
          <w:iCs/>
        </w:rPr>
        <w:t xml:space="preserve">Proposal 15: </w:t>
      </w:r>
      <w:r w:rsidRPr="006322D1">
        <w:rPr>
          <w:bCs/>
          <w:i/>
          <w:iCs/>
        </w:rPr>
        <w:t xml:space="preserve">Separate PUCCH formats are defined for NR-U long and short B-IFDMA PUCCH. </w:t>
      </w:r>
    </w:p>
    <w:p w14:paraId="5DDE901E" w14:textId="7F0CA2B7" w:rsidR="00F074DA" w:rsidRDefault="00F074DA" w:rsidP="00FA036E">
      <w:pPr>
        <w:spacing w:after="120"/>
        <w:jc w:val="both"/>
        <w:rPr>
          <w:bCs/>
          <w:i/>
          <w:iCs/>
        </w:rPr>
      </w:pPr>
      <w:r w:rsidRPr="006322D1">
        <w:rPr>
          <w:b/>
          <w:bCs/>
          <w:i/>
          <w:iCs/>
        </w:rPr>
        <w:t xml:space="preserve">Proposal 16: </w:t>
      </w:r>
      <w:r w:rsidRPr="006322D1">
        <w:rPr>
          <w:bCs/>
          <w:i/>
          <w:iCs/>
        </w:rPr>
        <w:t xml:space="preserve">Separate B-IFDMA PUCCH formats are defined for UCI payloads of 1-2 bits and above 2 bits. Rel-15 NR PUCCH formats can be used as starting point.  </w:t>
      </w:r>
    </w:p>
    <w:p w14:paraId="22CB52C0" w14:textId="7162AAFD" w:rsidR="00FA036E" w:rsidRPr="00921786" w:rsidRDefault="00FA036E" w:rsidP="00FA036E">
      <w:pPr>
        <w:spacing w:after="240"/>
        <w:jc w:val="both"/>
        <w:rPr>
          <w:bCs/>
        </w:rPr>
      </w:pPr>
      <w:r w:rsidRPr="004E4414">
        <w:rPr>
          <w:b/>
          <w:bCs/>
          <w:i/>
          <w:iCs/>
        </w:rPr>
        <w:t>Proposal</w:t>
      </w:r>
      <w:r>
        <w:rPr>
          <w:b/>
          <w:bCs/>
          <w:i/>
          <w:iCs/>
        </w:rPr>
        <w:t xml:space="preserve"> 17</w:t>
      </w:r>
      <w:r w:rsidRPr="004E4414">
        <w:rPr>
          <w:b/>
          <w:bCs/>
          <w:i/>
          <w:iCs/>
        </w:rPr>
        <w:t xml:space="preserve">: </w:t>
      </w:r>
      <w:r w:rsidRPr="004E4414">
        <w:rPr>
          <w:bCs/>
          <w:i/>
          <w:iCs/>
        </w:rPr>
        <w:t>Techniques for improving resource utilization for B-IFDMA PUCCH should be investigated, such as FDMA by allocating a portion of an interlace.</w:t>
      </w:r>
    </w:p>
    <w:p w14:paraId="7391B1E3" w14:textId="4DBC8A7E" w:rsidR="00F074DA" w:rsidRPr="00FA036E" w:rsidRDefault="00F074DA" w:rsidP="00FA036E">
      <w:pPr>
        <w:spacing w:after="120"/>
        <w:jc w:val="both"/>
        <w:rPr>
          <w:b/>
          <w:bCs/>
          <w:lang w:val="en-US"/>
        </w:rPr>
      </w:pPr>
      <w:r w:rsidRPr="00FA036E">
        <w:rPr>
          <w:b/>
          <w:bCs/>
          <w:lang w:val="en-US"/>
        </w:rPr>
        <w:t>PRACH</w:t>
      </w:r>
    </w:p>
    <w:p w14:paraId="3B480A38" w14:textId="77777777" w:rsidR="00F074DA" w:rsidRPr="006322D1" w:rsidRDefault="00F074DA" w:rsidP="006322D1">
      <w:pPr>
        <w:overflowPunct/>
        <w:autoSpaceDE/>
        <w:autoSpaceDN/>
        <w:adjustRightInd/>
        <w:spacing w:after="120"/>
        <w:jc w:val="both"/>
        <w:textAlignment w:val="auto"/>
        <w:rPr>
          <w:i/>
          <w:iCs/>
          <w:lang w:eastAsia="zh-CN"/>
        </w:rPr>
      </w:pPr>
      <w:r w:rsidRPr="006322D1">
        <w:rPr>
          <w:b/>
          <w:bCs/>
          <w:i/>
          <w:iCs/>
          <w:lang w:eastAsia="zh-CN"/>
        </w:rPr>
        <w:t xml:space="preserve">Observation 11: </w:t>
      </w:r>
      <w:r w:rsidRPr="006322D1">
        <w:rPr>
          <w:bCs/>
          <w:i/>
          <w:iCs/>
          <w:lang w:eastAsia="zh-CN"/>
        </w:rPr>
        <w:t xml:space="preserve">B-IFDM with non-uniform block spacing and TinB-IFDM based </w:t>
      </w:r>
      <w:r w:rsidRPr="006322D1">
        <w:rPr>
          <w:i/>
          <w:iCs/>
          <w:lang w:eastAsia="zh-CN"/>
        </w:rPr>
        <w:t>NR-U PRACH designs support insufficient number of PRACH preambles and occupy a high number of PRBs.</w:t>
      </w:r>
    </w:p>
    <w:p w14:paraId="55BCD145" w14:textId="1047AAFD" w:rsidR="00F074DA" w:rsidRPr="006322D1" w:rsidRDefault="00F074DA" w:rsidP="006322D1">
      <w:pPr>
        <w:overflowPunct/>
        <w:autoSpaceDE/>
        <w:autoSpaceDN/>
        <w:adjustRightInd/>
        <w:spacing w:after="120"/>
        <w:jc w:val="both"/>
        <w:textAlignment w:val="auto"/>
        <w:rPr>
          <w:rFonts w:eastAsia="Times New Roman"/>
          <w:i/>
          <w:iCs/>
        </w:rPr>
      </w:pPr>
      <w:r w:rsidRPr="006322D1">
        <w:rPr>
          <w:b/>
          <w:bCs/>
          <w:i/>
          <w:iCs/>
          <w:lang w:eastAsia="zh-CN"/>
        </w:rPr>
        <w:t xml:space="preserve">Observation 12: </w:t>
      </w:r>
      <w:r w:rsidRPr="006322D1">
        <w:rPr>
          <w:bCs/>
          <w:i/>
          <w:iCs/>
          <w:lang w:eastAsia="zh-CN"/>
        </w:rPr>
        <w:t>TinB-IFDM</w:t>
      </w:r>
      <w:r w:rsidRPr="006322D1">
        <w:rPr>
          <w:b/>
          <w:bCs/>
          <w:i/>
          <w:iCs/>
          <w:lang w:eastAsia="zh-CN"/>
        </w:rPr>
        <w:t xml:space="preserve"> </w:t>
      </w:r>
      <w:r w:rsidRPr="006322D1">
        <w:rPr>
          <w:bCs/>
          <w:i/>
          <w:iCs/>
          <w:lang w:eastAsia="zh-CN"/>
        </w:rPr>
        <w:t xml:space="preserve">based </w:t>
      </w:r>
      <w:r w:rsidRPr="006322D1">
        <w:rPr>
          <w:i/>
          <w:iCs/>
          <w:lang w:eastAsia="zh-CN"/>
        </w:rPr>
        <w:t>NR-U PRACH design cannot easily support sufficient cell range</w:t>
      </w:r>
      <w:r w:rsidR="000D6E55">
        <w:rPr>
          <w:i/>
          <w:iCs/>
          <w:lang w:eastAsia="zh-CN"/>
        </w:rPr>
        <w:t xml:space="preserve"> for 30 kHz SCS</w:t>
      </w:r>
      <w:r w:rsidRPr="006322D1">
        <w:rPr>
          <w:i/>
          <w:iCs/>
          <w:lang w:eastAsia="zh-CN"/>
        </w:rPr>
        <w:t>.</w:t>
      </w:r>
    </w:p>
    <w:p w14:paraId="117AF592" w14:textId="77777777" w:rsidR="00F074DA" w:rsidRPr="006322D1" w:rsidRDefault="00F074DA" w:rsidP="006322D1">
      <w:pPr>
        <w:spacing w:after="120"/>
        <w:jc w:val="both"/>
        <w:rPr>
          <w:i/>
          <w:iCs/>
          <w:lang w:eastAsia="zh-CN"/>
        </w:rPr>
      </w:pPr>
      <w:r w:rsidRPr="006322D1">
        <w:rPr>
          <w:b/>
          <w:i/>
          <w:iCs/>
          <w:lang w:eastAsia="zh-CN"/>
        </w:rPr>
        <w:t>Observation 13:</w:t>
      </w:r>
      <w:r w:rsidRPr="006322D1">
        <w:rPr>
          <w:i/>
          <w:iCs/>
          <w:lang w:eastAsia="zh-CN"/>
        </w:rPr>
        <w:t xml:space="preserve"> DL synchronization signals and physical broadcast channel are having roughly 8-9 dB worse MCL than NR PRACH format A1. Thus, from system operation point of view lower maximum TX power with frequency continuous PRACH format is not an issue. Instead, coverage of DL synchronization and physical broadcast channel should be enhanced significantly.</w:t>
      </w:r>
    </w:p>
    <w:p w14:paraId="63EB7C6F" w14:textId="77777777" w:rsidR="00F074DA" w:rsidRPr="006322D1" w:rsidRDefault="00F074DA" w:rsidP="00FA036E">
      <w:pPr>
        <w:overflowPunct/>
        <w:autoSpaceDE/>
        <w:autoSpaceDN/>
        <w:adjustRightInd/>
        <w:spacing w:after="0"/>
        <w:jc w:val="both"/>
        <w:textAlignment w:val="auto"/>
        <w:rPr>
          <w:i/>
        </w:rPr>
      </w:pPr>
      <w:r w:rsidRPr="006322D1">
        <w:rPr>
          <w:b/>
          <w:bCs/>
          <w:i/>
          <w:iCs/>
          <w:lang w:eastAsia="zh-CN"/>
        </w:rPr>
        <w:t xml:space="preserve">Observation 14: </w:t>
      </w:r>
      <w:r w:rsidRPr="006322D1">
        <w:rPr>
          <w:i/>
        </w:rPr>
        <w:t xml:space="preserve">Frequency continuous PRACH preamble design for NR-U </w:t>
      </w:r>
    </w:p>
    <w:p w14:paraId="5C119B0B" w14:textId="77777777" w:rsidR="00F074DA" w:rsidRPr="006322D1" w:rsidRDefault="00F074DA" w:rsidP="006322D1">
      <w:pPr>
        <w:pStyle w:val="ListParagraph"/>
        <w:numPr>
          <w:ilvl w:val="0"/>
          <w:numId w:val="56"/>
        </w:numPr>
        <w:spacing w:after="120"/>
        <w:jc w:val="both"/>
        <w:rPr>
          <w:i/>
          <w:sz w:val="20"/>
          <w:szCs w:val="20"/>
          <w:lang w:val="en-GB" w:eastAsia="en-US"/>
        </w:rPr>
      </w:pPr>
      <w:r w:rsidRPr="006322D1">
        <w:rPr>
          <w:i/>
          <w:sz w:val="20"/>
          <w:szCs w:val="20"/>
          <w:lang w:val="en-GB" w:eastAsia="en-US"/>
        </w:rPr>
        <w:t>can reduce the specification and implementation efforts</w:t>
      </w:r>
    </w:p>
    <w:p w14:paraId="2A75E457" w14:textId="77777777" w:rsidR="00F074DA" w:rsidRPr="006322D1" w:rsidRDefault="00F074DA" w:rsidP="006322D1">
      <w:pPr>
        <w:pStyle w:val="ListParagraph"/>
        <w:numPr>
          <w:ilvl w:val="0"/>
          <w:numId w:val="56"/>
        </w:numPr>
        <w:spacing w:after="120"/>
        <w:jc w:val="both"/>
        <w:rPr>
          <w:i/>
          <w:sz w:val="20"/>
          <w:szCs w:val="20"/>
          <w:lang w:val="en-GB" w:eastAsia="en-US"/>
        </w:rPr>
      </w:pPr>
      <w:r w:rsidRPr="006322D1">
        <w:rPr>
          <w:i/>
          <w:sz w:val="20"/>
          <w:szCs w:val="20"/>
          <w:lang w:val="en-GB" w:eastAsia="en-US"/>
        </w:rPr>
        <w:t>multiplexes with B-IFDM PUSCH with comparable puncturing as B-IFDM with non-uniform block spacing.</w:t>
      </w:r>
    </w:p>
    <w:p w14:paraId="02B3FB74" w14:textId="637A7A1C" w:rsidR="00FA036E" w:rsidRPr="00FA036E" w:rsidRDefault="00F074DA" w:rsidP="00FA036E">
      <w:pPr>
        <w:pStyle w:val="ListParagraph"/>
        <w:numPr>
          <w:ilvl w:val="0"/>
          <w:numId w:val="56"/>
        </w:numPr>
        <w:spacing w:after="120"/>
        <w:jc w:val="both"/>
        <w:rPr>
          <w:i/>
          <w:sz w:val="20"/>
          <w:szCs w:val="20"/>
          <w:lang w:val="en-GB" w:eastAsia="en-US"/>
        </w:rPr>
      </w:pPr>
      <w:r w:rsidRPr="006322D1">
        <w:rPr>
          <w:i/>
          <w:sz w:val="20"/>
          <w:szCs w:val="20"/>
          <w:lang w:val="en-GB" w:eastAsia="en-US"/>
        </w:rPr>
        <w:t xml:space="preserve">supports good timing estimation accuracy, sufficient cell range, sufficient number of PRACH preambles as well as </w:t>
      </w:r>
      <w:r w:rsidR="00FA036E">
        <w:rPr>
          <w:i/>
          <w:sz w:val="20"/>
          <w:szCs w:val="20"/>
          <w:lang w:val="en-GB" w:eastAsia="en-US"/>
        </w:rPr>
        <w:t>sufficient</w:t>
      </w:r>
      <w:r w:rsidRPr="006322D1">
        <w:rPr>
          <w:i/>
          <w:sz w:val="20"/>
          <w:szCs w:val="20"/>
          <w:lang w:val="en-GB" w:eastAsia="en-US"/>
        </w:rPr>
        <w:t xml:space="preserve"> maximum path loss.</w:t>
      </w:r>
    </w:p>
    <w:p w14:paraId="7CAC7556" w14:textId="77777777" w:rsidR="00FA036E" w:rsidRPr="006322D1" w:rsidRDefault="00FA036E" w:rsidP="00FA036E">
      <w:pPr>
        <w:overflowPunct/>
        <w:autoSpaceDE/>
        <w:autoSpaceDN/>
        <w:adjustRightInd/>
        <w:spacing w:after="240"/>
        <w:jc w:val="both"/>
        <w:textAlignment w:val="auto"/>
        <w:rPr>
          <w:i/>
        </w:rPr>
      </w:pPr>
      <w:r w:rsidRPr="006322D1">
        <w:rPr>
          <w:b/>
          <w:bCs/>
          <w:i/>
          <w:iCs/>
          <w:lang w:eastAsia="zh-CN"/>
        </w:rPr>
        <w:t xml:space="preserve">Observation 15: </w:t>
      </w:r>
      <w:r w:rsidRPr="006322D1">
        <w:rPr>
          <w:i/>
        </w:rPr>
        <w:t xml:space="preserve">LBT blocking due to TA difference between frequency multiplexed PUSCH, PUCCH, and PRACH is not expected in small cell deployments. </w:t>
      </w:r>
    </w:p>
    <w:p w14:paraId="46A2A784" w14:textId="77777777" w:rsidR="00F074DA" w:rsidRPr="006322D1" w:rsidRDefault="00F074DA" w:rsidP="006322D1">
      <w:pPr>
        <w:overflowPunct/>
        <w:autoSpaceDE/>
        <w:autoSpaceDN/>
        <w:adjustRightInd/>
        <w:spacing w:after="120"/>
        <w:jc w:val="both"/>
        <w:textAlignment w:val="auto"/>
        <w:rPr>
          <w:rFonts w:eastAsia="Times New Roman"/>
          <w:i/>
          <w:iCs/>
        </w:rPr>
      </w:pPr>
      <w:r w:rsidRPr="006322D1">
        <w:rPr>
          <w:b/>
          <w:bCs/>
          <w:i/>
          <w:iCs/>
          <w:lang w:eastAsia="zh-CN"/>
        </w:rPr>
        <w:t xml:space="preserve">Proposal 18: </w:t>
      </w:r>
      <w:r w:rsidRPr="006322D1">
        <w:rPr>
          <w:i/>
          <w:iCs/>
          <w:lang w:eastAsia="zh-CN"/>
        </w:rPr>
        <w:t xml:space="preserve">NR-U PRACH preamble </w:t>
      </w:r>
      <w:r w:rsidRPr="006322D1">
        <w:rPr>
          <w:i/>
        </w:rPr>
        <w:t>sequence is mapped to contiguous</w:t>
      </w:r>
      <w:r w:rsidRPr="006322D1">
        <w:rPr>
          <w:b/>
          <w:i/>
        </w:rPr>
        <w:t xml:space="preserve"> </w:t>
      </w:r>
      <w:r w:rsidRPr="006322D1">
        <w:rPr>
          <w:i/>
        </w:rPr>
        <w:t>subcarriers</w:t>
      </w:r>
      <w:r w:rsidRPr="006322D1">
        <w:rPr>
          <w:rFonts w:eastAsia="Times New Roman"/>
          <w:i/>
          <w:iCs/>
        </w:rPr>
        <w:t>.</w:t>
      </w:r>
    </w:p>
    <w:p w14:paraId="69015FF9" w14:textId="77777777" w:rsidR="00F074DA" w:rsidRPr="006322D1" w:rsidRDefault="00F074DA" w:rsidP="00FA036E">
      <w:pPr>
        <w:overflowPunct/>
        <w:autoSpaceDE/>
        <w:autoSpaceDN/>
        <w:adjustRightInd/>
        <w:spacing w:after="0"/>
        <w:jc w:val="both"/>
        <w:textAlignment w:val="auto"/>
        <w:rPr>
          <w:i/>
          <w:iCs/>
          <w:lang w:eastAsia="zh-CN"/>
        </w:rPr>
      </w:pPr>
      <w:r w:rsidRPr="006322D1">
        <w:rPr>
          <w:b/>
          <w:bCs/>
          <w:i/>
          <w:iCs/>
          <w:lang w:eastAsia="zh-CN"/>
        </w:rPr>
        <w:t xml:space="preserve">Proposal 19: </w:t>
      </w:r>
      <w:r w:rsidRPr="006322D1">
        <w:rPr>
          <w:i/>
          <w:iCs/>
          <w:lang w:eastAsia="zh-CN"/>
        </w:rPr>
        <w:t>Consider PRACH preamble design that:</w:t>
      </w:r>
    </w:p>
    <w:p w14:paraId="74CBB84F" w14:textId="77777777" w:rsidR="00F074DA" w:rsidRPr="006322D1" w:rsidRDefault="00F074DA" w:rsidP="00FA036E">
      <w:pPr>
        <w:spacing w:after="0"/>
        <w:ind w:firstLine="284"/>
        <w:jc w:val="both"/>
        <w:rPr>
          <w:rFonts w:eastAsia="Times New Roman"/>
          <w:i/>
          <w:iCs/>
        </w:rPr>
      </w:pPr>
      <w:r w:rsidRPr="006322D1">
        <w:rPr>
          <w:i/>
          <w:iCs/>
          <w:lang w:eastAsia="zh-CN"/>
        </w:rPr>
        <w:t xml:space="preserve">- is continuous in frequency and satisfies OCB requirement </w:t>
      </w:r>
      <w:r w:rsidRPr="006322D1">
        <w:rPr>
          <w:rFonts w:eastAsia="Times New Roman"/>
          <w:i/>
          <w:iCs/>
        </w:rPr>
        <w:t>when PRACH is transmitted on UE acquired COT</w:t>
      </w:r>
    </w:p>
    <w:p w14:paraId="466A9B45" w14:textId="77777777" w:rsidR="00F074DA" w:rsidRPr="006322D1" w:rsidRDefault="00F074DA" w:rsidP="00FA036E">
      <w:pPr>
        <w:spacing w:after="0"/>
        <w:ind w:firstLine="284"/>
        <w:jc w:val="both"/>
        <w:rPr>
          <w:i/>
          <w:lang w:eastAsia="zh-CN"/>
        </w:rPr>
      </w:pPr>
      <w:r w:rsidRPr="006322D1">
        <w:rPr>
          <w:rFonts w:eastAsia="Times New Roman"/>
          <w:i/>
          <w:iCs/>
        </w:rPr>
        <w:t xml:space="preserve">- is </w:t>
      </w:r>
      <w:r w:rsidRPr="006322D1">
        <w:rPr>
          <w:i/>
          <w:iCs/>
          <w:lang w:eastAsia="zh-CN"/>
        </w:rPr>
        <w:t>continuous in frequency but does not satisfy OCB requirement or is repeated at the two sides of transmission BW</w:t>
      </w:r>
    </w:p>
    <w:p w14:paraId="02D3878D" w14:textId="77777777" w:rsidR="00F074DA" w:rsidRPr="006322D1" w:rsidRDefault="00F074DA" w:rsidP="006322D1">
      <w:pPr>
        <w:spacing w:after="120"/>
        <w:jc w:val="both"/>
        <w:rPr>
          <w:rFonts w:eastAsia="Times New Roman"/>
          <w:i/>
          <w:iCs/>
        </w:rPr>
      </w:pPr>
      <w:r w:rsidRPr="006322D1">
        <w:rPr>
          <w:rFonts w:eastAsia="Times New Roman"/>
          <w:i/>
          <w:iCs/>
        </w:rPr>
        <w:tab/>
        <w:t>when PRACH is transmitted on the UL portion of gNB acquired shared COT.</w:t>
      </w:r>
    </w:p>
    <w:p w14:paraId="21CD34A0" w14:textId="72C738B6" w:rsidR="00F074DA" w:rsidRPr="00FA036E" w:rsidRDefault="00F074DA" w:rsidP="00FA036E">
      <w:pPr>
        <w:overflowPunct/>
        <w:autoSpaceDE/>
        <w:autoSpaceDN/>
        <w:adjustRightInd/>
        <w:spacing w:after="240"/>
        <w:jc w:val="both"/>
        <w:textAlignment w:val="auto"/>
        <w:rPr>
          <w:i/>
        </w:rPr>
      </w:pPr>
      <w:r w:rsidRPr="006322D1">
        <w:rPr>
          <w:b/>
          <w:bCs/>
          <w:i/>
          <w:iCs/>
          <w:lang w:eastAsia="zh-CN"/>
        </w:rPr>
        <w:t>Proposal 20:</w:t>
      </w:r>
      <w:r w:rsidRPr="006322D1">
        <w:rPr>
          <w:b/>
          <w:bCs/>
          <w:lang w:eastAsia="zh-CN"/>
        </w:rPr>
        <w:t xml:space="preserve"> </w:t>
      </w:r>
      <w:r w:rsidRPr="006322D1">
        <w:rPr>
          <w:bCs/>
          <w:i/>
          <w:lang w:eastAsia="zh-CN"/>
        </w:rPr>
        <w:t>For NR-U PRACH,</w:t>
      </w:r>
      <w:r w:rsidRPr="006322D1">
        <w:rPr>
          <w:i/>
        </w:rPr>
        <w:t xml:space="preserve"> 15 kHz, 30 kHz and potentially 60 kHz SCS options are supported for the below 7 GHz frequency range.</w:t>
      </w:r>
    </w:p>
    <w:p w14:paraId="5A439615" w14:textId="2758AD24" w:rsidR="00FA03EB" w:rsidRPr="006322D1" w:rsidRDefault="00FA03EB" w:rsidP="006322D1">
      <w:pPr>
        <w:spacing w:after="120"/>
        <w:jc w:val="both"/>
        <w:rPr>
          <w:b/>
          <w:i/>
          <w:iCs/>
          <w:lang w:eastAsia="zh-CN"/>
        </w:rPr>
      </w:pPr>
      <w:r w:rsidRPr="006322D1">
        <w:rPr>
          <w:b/>
          <w:i/>
          <w:iCs/>
          <w:lang w:eastAsia="zh-CN"/>
        </w:rPr>
        <w:t>SRS</w:t>
      </w:r>
    </w:p>
    <w:p w14:paraId="65C5A783" w14:textId="4B1CFAC0" w:rsidR="00FA03EB" w:rsidRPr="006322D1" w:rsidRDefault="00FA03EB" w:rsidP="006322D1">
      <w:pPr>
        <w:spacing w:after="120"/>
        <w:jc w:val="both"/>
        <w:rPr>
          <w:i/>
          <w:iCs/>
          <w:lang w:eastAsia="zh-CN"/>
        </w:rPr>
      </w:pPr>
      <w:r w:rsidRPr="006322D1">
        <w:rPr>
          <w:b/>
          <w:i/>
          <w:iCs/>
          <w:lang w:eastAsia="zh-CN"/>
        </w:rPr>
        <w:t>Proposal 21:</w:t>
      </w:r>
      <w:r w:rsidRPr="006322D1">
        <w:rPr>
          <w:i/>
          <w:iCs/>
          <w:lang w:eastAsia="zh-CN"/>
        </w:rPr>
        <w:t xml:space="preserve"> Frequency domain multiplexing of SRS with PUSCH and PUCCH is supported.</w:t>
      </w:r>
    </w:p>
    <w:p w14:paraId="6AB82C7F" w14:textId="34996455" w:rsidR="00FA03EB" w:rsidRDefault="00FA03EB" w:rsidP="006322D1">
      <w:pPr>
        <w:spacing w:after="120"/>
        <w:jc w:val="both"/>
        <w:rPr>
          <w:i/>
          <w:iCs/>
          <w:lang w:eastAsia="zh-CN"/>
        </w:rPr>
      </w:pPr>
      <w:r w:rsidRPr="006322D1">
        <w:rPr>
          <w:b/>
          <w:i/>
          <w:iCs/>
          <w:lang w:eastAsia="zh-CN"/>
        </w:rPr>
        <w:t>Proposal 22:</w:t>
      </w:r>
      <w:r w:rsidRPr="006322D1">
        <w:rPr>
          <w:i/>
          <w:iCs/>
          <w:lang w:eastAsia="zh-CN"/>
        </w:rPr>
        <w:t xml:space="preserve"> Frequency domain multiplexing of SRS with PUCCH should not cause rate matching for PUCCH</w:t>
      </w:r>
      <w:r>
        <w:rPr>
          <w:i/>
          <w:iCs/>
          <w:lang w:eastAsia="zh-CN"/>
        </w:rPr>
        <w:t>.</w:t>
      </w:r>
    </w:p>
    <w:p w14:paraId="7BAAD6C9" w14:textId="65C4DC4F" w:rsidR="00FA036E" w:rsidRPr="009A5FAC" w:rsidRDefault="00FA036E" w:rsidP="00FA036E">
      <w:pPr>
        <w:jc w:val="both"/>
        <w:rPr>
          <w:i/>
          <w:iCs/>
          <w:lang w:eastAsia="zh-CN"/>
        </w:rPr>
      </w:pPr>
      <w:r w:rsidRPr="008A5EAC">
        <w:rPr>
          <w:b/>
          <w:i/>
          <w:iCs/>
          <w:lang w:eastAsia="zh-CN"/>
        </w:rPr>
        <w:t>Proposal</w:t>
      </w:r>
      <w:r>
        <w:rPr>
          <w:b/>
          <w:i/>
          <w:iCs/>
          <w:lang w:eastAsia="zh-CN"/>
        </w:rPr>
        <w:t xml:space="preserve"> 23</w:t>
      </w:r>
      <w:r w:rsidRPr="008A5EAC">
        <w:rPr>
          <w:b/>
          <w:i/>
          <w:iCs/>
          <w:lang w:eastAsia="zh-CN"/>
        </w:rPr>
        <w:t>:</w:t>
      </w:r>
      <w:r w:rsidRPr="008A5EAC">
        <w:rPr>
          <w:i/>
          <w:iCs/>
          <w:lang w:eastAsia="zh-CN"/>
        </w:rPr>
        <w:t xml:space="preserve"> Configuration options for </w:t>
      </w:r>
      <w:r w:rsidRPr="009A5FAC">
        <w:rPr>
          <w:i/>
          <w:iCs/>
          <w:lang w:eastAsia="zh-CN"/>
        </w:rPr>
        <w:t>SRS symbol(s)</w:t>
      </w:r>
      <w:r w:rsidRPr="008A5EAC">
        <w:rPr>
          <w:b/>
          <w:i/>
          <w:iCs/>
          <w:lang w:eastAsia="zh-CN"/>
        </w:rPr>
        <w:t xml:space="preserve"> </w:t>
      </w:r>
      <w:r w:rsidRPr="008A5EAC">
        <w:rPr>
          <w:i/>
          <w:iCs/>
          <w:lang w:eastAsia="zh-CN"/>
        </w:rPr>
        <w:t xml:space="preserve">location within a slot are increased to allow </w:t>
      </w:r>
      <w:r>
        <w:rPr>
          <w:i/>
          <w:iCs/>
          <w:lang w:eastAsia="zh-CN"/>
        </w:rPr>
        <w:t xml:space="preserve">time </w:t>
      </w:r>
      <w:r w:rsidRPr="008A5EAC">
        <w:rPr>
          <w:i/>
          <w:iCs/>
          <w:lang w:eastAsia="zh-CN"/>
        </w:rPr>
        <w:t xml:space="preserve">alignment with PUSCH/PUCCH LBT gaps and beginning of UL </w:t>
      </w:r>
      <w:r>
        <w:rPr>
          <w:i/>
          <w:iCs/>
          <w:lang w:eastAsia="zh-CN"/>
        </w:rPr>
        <w:t xml:space="preserve">portion of </w:t>
      </w:r>
      <w:r w:rsidRPr="008A5EAC">
        <w:rPr>
          <w:i/>
          <w:iCs/>
          <w:lang w:eastAsia="zh-CN"/>
        </w:rPr>
        <w:t>COT</w:t>
      </w:r>
    </w:p>
    <w:p w14:paraId="2F0729C1" w14:textId="77777777" w:rsidR="0034111C" w:rsidRPr="00A51522" w:rsidRDefault="0034111C">
      <w:pPr>
        <w:pStyle w:val="Heading1"/>
      </w:pPr>
      <w:r w:rsidRPr="00A51522">
        <w:t>References</w:t>
      </w:r>
      <w:r w:rsidR="00A2459D" w:rsidRPr="00A51522">
        <w:t xml:space="preserve"> </w:t>
      </w:r>
    </w:p>
    <w:p w14:paraId="40D99FF0" w14:textId="267FE520" w:rsidR="00055676" w:rsidRDefault="1CEFF1BD" w:rsidP="1CEFF1BD">
      <w:pPr>
        <w:numPr>
          <w:ilvl w:val="0"/>
          <w:numId w:val="1"/>
        </w:numPr>
        <w:rPr>
          <w:sz w:val="18"/>
          <w:szCs w:val="18"/>
        </w:rPr>
      </w:pPr>
      <w:r w:rsidRPr="1CEFF1BD">
        <w:rPr>
          <w:sz w:val="18"/>
          <w:szCs w:val="18"/>
          <w:lang w:eastAsia="zh-CN"/>
        </w:rPr>
        <w:t>RP-172021, “</w:t>
      </w:r>
      <w:r w:rsidRPr="57A2373E">
        <w:rPr>
          <w:i/>
          <w:iCs/>
          <w:sz w:val="18"/>
          <w:szCs w:val="18"/>
          <w:lang w:eastAsia="zh-CN"/>
        </w:rPr>
        <w:t>New SID on NR-based Access to Unlicensed Spectrum</w:t>
      </w:r>
      <w:r w:rsidRPr="1CEFF1BD">
        <w:rPr>
          <w:sz w:val="18"/>
          <w:szCs w:val="18"/>
          <w:lang w:eastAsia="zh-CN"/>
        </w:rPr>
        <w:t>”, Qualcomm</w:t>
      </w:r>
    </w:p>
    <w:p w14:paraId="1385C5C2" w14:textId="0634E299" w:rsidR="003F7F1B" w:rsidRDefault="003F7F1B">
      <w:pPr>
        <w:numPr>
          <w:ilvl w:val="0"/>
          <w:numId w:val="1"/>
        </w:numPr>
        <w:rPr>
          <w:sz w:val="18"/>
          <w:szCs w:val="18"/>
        </w:rPr>
      </w:pPr>
      <w:r w:rsidRPr="00FB15C5">
        <w:rPr>
          <w:sz w:val="18"/>
          <w:szCs w:val="18"/>
          <w:lang w:eastAsia="zh-CN"/>
        </w:rPr>
        <w:t>3GPP, “RAN1 Chairman’s Notes”, RAN1#92bis</w:t>
      </w:r>
    </w:p>
    <w:p w14:paraId="40F10A7F" w14:textId="265B80B8" w:rsidR="00A3184A" w:rsidRDefault="00A3184A" w:rsidP="00A3184A">
      <w:pPr>
        <w:numPr>
          <w:ilvl w:val="0"/>
          <w:numId w:val="1"/>
        </w:numPr>
        <w:rPr>
          <w:sz w:val="18"/>
          <w:szCs w:val="18"/>
        </w:rPr>
      </w:pPr>
      <w:r w:rsidRPr="00FB15C5">
        <w:rPr>
          <w:sz w:val="18"/>
          <w:szCs w:val="18"/>
          <w:lang w:eastAsia="zh-CN"/>
        </w:rPr>
        <w:t>3GP</w:t>
      </w:r>
      <w:r w:rsidRPr="00447088">
        <w:rPr>
          <w:sz w:val="18"/>
          <w:szCs w:val="18"/>
          <w:lang w:eastAsia="zh-CN"/>
        </w:rPr>
        <w:t>P, “RAN1 Chairman’s Notes”, RAN1#93</w:t>
      </w:r>
    </w:p>
    <w:p w14:paraId="1F65D1CA" w14:textId="64329C5E" w:rsidR="003508C7" w:rsidRPr="00DF1371" w:rsidRDefault="003508C7" w:rsidP="00DF1371">
      <w:pPr>
        <w:numPr>
          <w:ilvl w:val="0"/>
          <w:numId w:val="1"/>
        </w:numPr>
        <w:rPr>
          <w:sz w:val="18"/>
          <w:szCs w:val="18"/>
        </w:rPr>
      </w:pPr>
      <w:r w:rsidRPr="00FB15C5">
        <w:rPr>
          <w:sz w:val="18"/>
          <w:szCs w:val="18"/>
          <w:lang w:eastAsia="zh-CN"/>
        </w:rPr>
        <w:t>3GP</w:t>
      </w:r>
      <w:r w:rsidRPr="00447088">
        <w:rPr>
          <w:sz w:val="18"/>
          <w:szCs w:val="18"/>
          <w:lang w:eastAsia="zh-CN"/>
        </w:rPr>
        <w:t xml:space="preserve">P, </w:t>
      </w:r>
      <w:r>
        <w:rPr>
          <w:sz w:val="18"/>
          <w:szCs w:val="18"/>
          <w:lang w:eastAsia="zh-CN"/>
        </w:rPr>
        <w:t>“RAN1 Chairman’s Notes”, RAN1#94</w:t>
      </w:r>
    </w:p>
    <w:p w14:paraId="71EA2678" w14:textId="1749B15F" w:rsidR="00F049CD" w:rsidRPr="00447088" w:rsidRDefault="00F049CD" w:rsidP="00F049CD">
      <w:pPr>
        <w:numPr>
          <w:ilvl w:val="0"/>
          <w:numId w:val="1"/>
        </w:numPr>
        <w:rPr>
          <w:sz w:val="18"/>
          <w:szCs w:val="18"/>
        </w:rPr>
      </w:pPr>
      <w:r w:rsidRPr="00F049CD">
        <w:rPr>
          <w:sz w:val="18"/>
          <w:szCs w:val="18"/>
        </w:rPr>
        <w:t>R4-1810420</w:t>
      </w:r>
      <w:r>
        <w:rPr>
          <w:sz w:val="18"/>
          <w:szCs w:val="18"/>
        </w:rPr>
        <w:t>,</w:t>
      </w:r>
      <w:r w:rsidRPr="00F049CD">
        <w:rPr>
          <w:sz w:val="18"/>
          <w:szCs w:val="18"/>
        </w:rPr>
        <w:tab/>
      </w:r>
      <w:r>
        <w:rPr>
          <w:sz w:val="18"/>
          <w:szCs w:val="18"/>
        </w:rPr>
        <w:t>“</w:t>
      </w:r>
      <w:r w:rsidRPr="00FA036E">
        <w:rPr>
          <w:i/>
          <w:sz w:val="18"/>
          <w:szCs w:val="18"/>
        </w:rPr>
        <w:t>CP-OFDM almost contiguous allocation</w:t>
      </w:r>
      <w:r>
        <w:rPr>
          <w:sz w:val="18"/>
          <w:szCs w:val="18"/>
        </w:rPr>
        <w:t>”, Nokia, Nokia Shanghai Bell</w:t>
      </w:r>
    </w:p>
    <w:p w14:paraId="4C4D5DFD" w14:textId="743769AB" w:rsidR="00FA59E5" w:rsidRDefault="00FA59E5" w:rsidP="00FA59E5">
      <w:pPr>
        <w:numPr>
          <w:ilvl w:val="0"/>
          <w:numId w:val="1"/>
        </w:numPr>
        <w:rPr>
          <w:sz w:val="18"/>
          <w:szCs w:val="18"/>
        </w:rPr>
      </w:pPr>
      <w:r w:rsidRPr="00447088">
        <w:rPr>
          <w:sz w:val="18"/>
          <w:szCs w:val="18"/>
        </w:rPr>
        <w:t>R1-</w:t>
      </w:r>
      <w:r w:rsidR="00A3184A" w:rsidRPr="00447088">
        <w:rPr>
          <w:sz w:val="18"/>
          <w:szCs w:val="18"/>
        </w:rPr>
        <w:t>180</w:t>
      </w:r>
      <w:r w:rsidR="00447088" w:rsidRPr="00447088">
        <w:rPr>
          <w:sz w:val="18"/>
          <w:szCs w:val="18"/>
        </w:rPr>
        <w:t>8826</w:t>
      </w:r>
      <w:r w:rsidRPr="00FA59E5">
        <w:rPr>
          <w:sz w:val="18"/>
          <w:szCs w:val="18"/>
        </w:rPr>
        <w:t xml:space="preserve">, </w:t>
      </w:r>
      <w:r>
        <w:rPr>
          <w:sz w:val="18"/>
          <w:szCs w:val="18"/>
        </w:rPr>
        <w:t>“</w:t>
      </w:r>
      <w:r w:rsidRPr="00BF0F31">
        <w:rPr>
          <w:i/>
          <w:sz w:val="18"/>
          <w:szCs w:val="18"/>
        </w:rPr>
        <w:t>On Maximum TX Power for UL Interlace Structures</w:t>
      </w:r>
      <w:r>
        <w:rPr>
          <w:sz w:val="18"/>
          <w:szCs w:val="18"/>
        </w:rPr>
        <w:t>”, Nokia, Nokia Shanghai Bell</w:t>
      </w:r>
    </w:p>
    <w:p w14:paraId="0CDDAACD" w14:textId="507A865B" w:rsidR="0072540C" w:rsidRDefault="0072540C" w:rsidP="0072540C">
      <w:pPr>
        <w:numPr>
          <w:ilvl w:val="0"/>
          <w:numId w:val="1"/>
        </w:numPr>
        <w:rPr>
          <w:sz w:val="18"/>
          <w:szCs w:val="18"/>
        </w:rPr>
      </w:pPr>
      <w:r>
        <w:rPr>
          <w:sz w:val="18"/>
          <w:szCs w:val="18"/>
        </w:rPr>
        <w:t>R1-1808060, “</w:t>
      </w:r>
      <w:r w:rsidRPr="0072540C">
        <w:rPr>
          <w:i/>
          <w:sz w:val="18"/>
          <w:szCs w:val="18"/>
        </w:rPr>
        <w:t>UL PHY channels for NR unlicensed</w:t>
      </w:r>
      <w:r>
        <w:rPr>
          <w:sz w:val="18"/>
          <w:szCs w:val="18"/>
        </w:rPr>
        <w:t>”, Huawei, HiSilicon</w:t>
      </w:r>
    </w:p>
    <w:p w14:paraId="19CF5E11" w14:textId="255EF66D" w:rsidR="000F7FAB" w:rsidRPr="00921786" w:rsidRDefault="000F7FAB" w:rsidP="0072540C">
      <w:pPr>
        <w:numPr>
          <w:ilvl w:val="0"/>
          <w:numId w:val="1"/>
        </w:numPr>
        <w:rPr>
          <w:rStyle w:val="normaltextrun1"/>
          <w:sz w:val="18"/>
          <w:szCs w:val="18"/>
        </w:rPr>
      </w:pPr>
      <w:r w:rsidRPr="00921786">
        <w:rPr>
          <w:rStyle w:val="normaltextrun1"/>
          <w:sz w:val="18"/>
          <w:szCs w:val="18"/>
        </w:rPr>
        <w:t>R1-1809819, “</w:t>
      </w:r>
      <w:r w:rsidRPr="00921786">
        <w:rPr>
          <w:rStyle w:val="normaltextrun1"/>
          <w:i/>
          <w:iCs/>
          <w:sz w:val="18"/>
          <w:szCs w:val="18"/>
        </w:rPr>
        <w:t>Feature lead summary 2 for UL Signals and Channels</w:t>
      </w:r>
      <w:r w:rsidRPr="00921786">
        <w:rPr>
          <w:rStyle w:val="normaltextrun1"/>
          <w:sz w:val="18"/>
          <w:szCs w:val="18"/>
        </w:rPr>
        <w:t>”, Ericsson</w:t>
      </w:r>
    </w:p>
    <w:p w14:paraId="4720856B" w14:textId="1636D968" w:rsidR="003E235E" w:rsidRPr="00E859C0" w:rsidRDefault="003E235E" w:rsidP="0072540C">
      <w:pPr>
        <w:numPr>
          <w:ilvl w:val="0"/>
          <w:numId w:val="1"/>
        </w:numPr>
        <w:rPr>
          <w:sz w:val="18"/>
          <w:szCs w:val="18"/>
        </w:rPr>
      </w:pPr>
      <w:r w:rsidRPr="00921786">
        <w:rPr>
          <w:rStyle w:val="normaltextrun1"/>
          <w:sz w:val="18"/>
          <w:szCs w:val="18"/>
        </w:rPr>
        <w:t>R1-18</w:t>
      </w:r>
      <w:r w:rsidR="00F952D2" w:rsidRPr="00921786">
        <w:rPr>
          <w:rStyle w:val="normaltextrun1"/>
          <w:sz w:val="18"/>
          <w:szCs w:val="18"/>
        </w:rPr>
        <w:t>10622</w:t>
      </w:r>
      <w:r w:rsidRPr="00921786">
        <w:rPr>
          <w:rStyle w:val="normaltextrun1"/>
          <w:sz w:val="18"/>
          <w:szCs w:val="18"/>
        </w:rPr>
        <w:t>, “</w:t>
      </w:r>
      <w:r w:rsidRPr="00921786">
        <w:rPr>
          <w:rStyle w:val="normaltextrun1"/>
          <w:i/>
          <w:sz w:val="18"/>
          <w:szCs w:val="18"/>
        </w:rPr>
        <w:t>On DL Signals and Channels</w:t>
      </w:r>
      <w:r w:rsidRPr="00FA036E">
        <w:rPr>
          <w:rStyle w:val="normaltextrun1"/>
          <w:i/>
          <w:sz w:val="18"/>
          <w:szCs w:val="18"/>
        </w:rPr>
        <w:t xml:space="preserve"> for NR-U</w:t>
      </w:r>
      <w:r>
        <w:rPr>
          <w:rStyle w:val="normaltextrun1"/>
          <w:sz w:val="18"/>
          <w:szCs w:val="18"/>
        </w:rPr>
        <w:t>”, Nokia, Nokia Shanghai Bell</w:t>
      </w:r>
    </w:p>
    <w:p w14:paraId="611330DB" w14:textId="331E3B7A" w:rsidR="00185774" w:rsidRPr="00A51522" w:rsidRDefault="000F7FAB" w:rsidP="00185774">
      <w:pPr>
        <w:pStyle w:val="Heading1"/>
      </w:pPr>
      <w:r>
        <w:t>APPENDIX</w:t>
      </w:r>
      <w:r w:rsidR="00A038FF">
        <w:t xml:space="preserve"> 1</w:t>
      </w:r>
    </w:p>
    <w:p w14:paraId="67B147C0" w14:textId="608BA752" w:rsidR="00185774" w:rsidRPr="00BF0F31" w:rsidRDefault="00185774" w:rsidP="00CB0A14">
      <w:pPr>
        <w:spacing w:after="0"/>
        <w:jc w:val="both"/>
        <w:rPr>
          <w:rFonts w:eastAsia="Times New Roman"/>
          <w:lang w:val="en-US" w:eastAsia="fi-FI"/>
        </w:rPr>
      </w:pPr>
      <w:r w:rsidRPr="00447088">
        <w:rPr>
          <w:lang w:val="en-US" w:eastAsia="fi-FI"/>
        </w:rPr>
        <w:t xml:space="preserve">The following agreements related to NR-U </w:t>
      </w:r>
      <w:r>
        <w:rPr>
          <w:lang w:val="en-US" w:eastAsia="fi-FI"/>
        </w:rPr>
        <w:t xml:space="preserve">uplink </w:t>
      </w:r>
      <w:r w:rsidRPr="00447088">
        <w:rPr>
          <w:lang w:val="en-US" w:eastAsia="fi-FI"/>
        </w:rPr>
        <w:t>design were made in RAN1#92bis [2]</w:t>
      </w:r>
      <w:r>
        <w:rPr>
          <w:lang w:val="en-US" w:eastAsia="fi-FI"/>
        </w:rPr>
        <w:t>,</w:t>
      </w:r>
      <w:r w:rsidRPr="00447088">
        <w:rPr>
          <w:lang w:val="en-US" w:eastAsia="fi-FI"/>
        </w:rPr>
        <w:t xml:space="preserve"> RAN1#93 [3]</w:t>
      </w:r>
      <w:r>
        <w:rPr>
          <w:lang w:val="en-US" w:eastAsia="fi-FI"/>
        </w:rPr>
        <w:t xml:space="preserve"> and RAN1#94 [4]</w:t>
      </w:r>
      <w:r>
        <w:rPr>
          <w:rFonts w:eastAsia="Times New Roman"/>
          <w:lang w:val="en-US" w:eastAsia="fi-FI"/>
        </w:rPr>
        <w:t>:</w:t>
      </w:r>
    </w:p>
    <w:p w14:paraId="171A8198" w14:textId="77777777" w:rsidR="00185774" w:rsidRDefault="00185774" w:rsidP="00185774">
      <w:pPr>
        <w:spacing w:after="0"/>
        <w:jc w:val="both"/>
        <w:rPr>
          <w:rFonts w:eastAsia="Times New Roman"/>
          <w:lang w:val="en-US" w:eastAsia="fi-FI"/>
        </w:rPr>
      </w:pPr>
    </w:p>
    <w:p w14:paraId="6EEA6CD2" w14:textId="77777777" w:rsidR="00185774" w:rsidRPr="00CB0A14" w:rsidRDefault="00185774" w:rsidP="00185774">
      <w:pPr>
        <w:spacing w:after="0"/>
      </w:pPr>
      <w:r w:rsidRPr="00CB0A14">
        <w:t>Agreement: [2]</w:t>
      </w:r>
    </w:p>
    <w:p w14:paraId="325DB4DE" w14:textId="77777777" w:rsidR="00185774" w:rsidRPr="00CB0A14" w:rsidRDefault="00185774" w:rsidP="00185774">
      <w:pPr>
        <w:widowControl w:val="0"/>
        <w:numPr>
          <w:ilvl w:val="0"/>
          <w:numId w:val="44"/>
        </w:numPr>
        <w:overflowPunct/>
        <w:autoSpaceDE/>
        <w:autoSpaceDN/>
        <w:adjustRightInd/>
        <w:spacing w:after="0"/>
        <w:jc w:val="both"/>
        <w:textAlignment w:val="auto"/>
        <w:rPr>
          <w:i/>
          <w:lang w:val="en-US"/>
        </w:rPr>
      </w:pPr>
      <w:r w:rsidRPr="00CB0A14">
        <w:rPr>
          <w:i/>
          <w:iCs/>
          <w:lang w:val="en-US"/>
        </w:rPr>
        <w:t>NR-U support</w:t>
      </w:r>
      <w:r w:rsidRPr="00CB0A14">
        <w:rPr>
          <w:i/>
          <w:lang w:eastAsia="x-none"/>
        </w:rPr>
        <w:t>s both Type</w:t>
      </w:r>
      <w:r w:rsidRPr="00CB0A14">
        <w:rPr>
          <w:i/>
          <w:iCs/>
          <w:lang w:val="en-US"/>
        </w:rPr>
        <w:t xml:space="preserve">-A and Type-B mapping already supported in NR </w:t>
      </w:r>
    </w:p>
    <w:p w14:paraId="4FF076CC"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Additional starting positions and durations are not precluded</w:t>
      </w:r>
    </w:p>
    <w:p w14:paraId="570A5B41" w14:textId="77777777" w:rsidR="00185774" w:rsidRPr="00CB0A14" w:rsidRDefault="00185774" w:rsidP="00185774">
      <w:pPr>
        <w:widowControl w:val="0"/>
        <w:numPr>
          <w:ilvl w:val="0"/>
          <w:numId w:val="45"/>
        </w:numPr>
        <w:overflowPunct/>
        <w:autoSpaceDE/>
        <w:autoSpaceDN/>
        <w:adjustRightInd/>
        <w:spacing w:after="0"/>
        <w:jc w:val="both"/>
        <w:textAlignment w:val="auto"/>
        <w:rPr>
          <w:i/>
          <w:lang w:val="en-US"/>
        </w:rPr>
      </w:pPr>
      <w:r w:rsidRPr="00CB0A14">
        <w:rPr>
          <w:i/>
          <w:iCs/>
          <w:lang w:val="en-US"/>
        </w:rPr>
        <w:t>For sub-7 GHz, NR-U study the SCSs, 15/30/60KHz</w:t>
      </w:r>
    </w:p>
    <w:p w14:paraId="435BC313"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Study performance difference between different SCS</w:t>
      </w:r>
    </w:p>
    <w:p w14:paraId="32579069"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Study if changes to UL design are needed to meet the PSD and OCB requirements</w:t>
      </w:r>
    </w:p>
    <w:p w14:paraId="644BE42F"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Study if an SS block design/RMSI/OSI with 60KHz SCS is needed </w:t>
      </w:r>
    </w:p>
    <w:p w14:paraId="4E7DC952"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Impact on MIB and SIB1 content </w:t>
      </w:r>
    </w:p>
    <w:p w14:paraId="4AA13E5B"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Need for use of ECP for 60KHz</w:t>
      </w:r>
    </w:p>
    <w:p w14:paraId="26E214A8"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RACH design with 60KHz SCS in addition to options currently part of NR</w:t>
      </w:r>
    </w:p>
    <w:p w14:paraId="4A3F4493"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 xml:space="preserve">Other considerations are not precluded. </w:t>
      </w:r>
    </w:p>
    <w:p w14:paraId="7836A98B"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Impact on support of different BWs with different SCS</w:t>
      </w:r>
    </w:p>
    <w:p w14:paraId="64133A25" w14:textId="77777777" w:rsidR="00185774" w:rsidRPr="00CB0A14" w:rsidRDefault="00185774" w:rsidP="00185774">
      <w:pPr>
        <w:widowControl w:val="0"/>
        <w:numPr>
          <w:ilvl w:val="0"/>
          <w:numId w:val="45"/>
        </w:numPr>
        <w:overflowPunct/>
        <w:autoSpaceDE/>
        <w:autoSpaceDN/>
        <w:adjustRightInd/>
        <w:spacing w:after="0"/>
        <w:jc w:val="both"/>
        <w:textAlignment w:val="auto"/>
        <w:rPr>
          <w:i/>
          <w:lang w:val="en-US"/>
        </w:rPr>
      </w:pPr>
      <w:r w:rsidRPr="00CB0A14">
        <w:rPr>
          <w:i/>
          <w:iCs/>
          <w:lang w:val="en-US"/>
        </w:rPr>
        <w:t>Study supporting more than one switching points within a TxOP</w:t>
      </w:r>
    </w:p>
    <w:p w14:paraId="50AA98FF" w14:textId="77777777" w:rsidR="00185774" w:rsidRPr="00CB0A14" w:rsidRDefault="00185774" w:rsidP="00185774">
      <w:pPr>
        <w:widowControl w:val="0"/>
        <w:numPr>
          <w:ilvl w:val="1"/>
          <w:numId w:val="45"/>
        </w:numPr>
        <w:overflowPunct/>
        <w:autoSpaceDE/>
        <w:autoSpaceDN/>
        <w:adjustRightInd/>
        <w:spacing w:after="0"/>
        <w:jc w:val="both"/>
        <w:textAlignment w:val="auto"/>
        <w:rPr>
          <w:i/>
          <w:lang w:val="en-US"/>
        </w:rPr>
      </w:pPr>
      <w:r w:rsidRPr="00CB0A14">
        <w:rPr>
          <w:i/>
          <w:iCs/>
          <w:lang w:val="en-US"/>
        </w:rPr>
        <w:t>FFS the LBT requirement for each DL/UL data/control burst in the TxOP.</w:t>
      </w:r>
    </w:p>
    <w:p w14:paraId="132ECB41" w14:textId="77777777" w:rsidR="00185774" w:rsidRPr="00CB0A14" w:rsidRDefault="00185774" w:rsidP="00FF2A3C">
      <w:pPr>
        <w:pStyle w:val="bullet"/>
        <w:numPr>
          <w:ilvl w:val="0"/>
          <w:numId w:val="0"/>
        </w:numPr>
        <w:spacing w:before="180"/>
      </w:pPr>
      <w:r w:rsidRPr="00CB0A14">
        <w:t>Agreement: [3]</w:t>
      </w:r>
    </w:p>
    <w:p w14:paraId="05383C88" w14:textId="77777777" w:rsidR="00185774" w:rsidRPr="00CB0A14" w:rsidRDefault="00185774" w:rsidP="00185774">
      <w:pPr>
        <w:numPr>
          <w:ilvl w:val="0"/>
          <w:numId w:val="51"/>
        </w:numPr>
        <w:overflowPunct/>
        <w:autoSpaceDE/>
        <w:autoSpaceDN/>
        <w:adjustRightInd/>
        <w:spacing w:after="0"/>
        <w:textAlignment w:val="auto"/>
        <w:rPr>
          <w:i/>
          <w:lang w:eastAsia="x-none"/>
        </w:rPr>
      </w:pPr>
      <w:r w:rsidRPr="00CB0A14">
        <w:rPr>
          <w:i/>
          <w:lang w:eastAsia="x-none"/>
        </w:rPr>
        <w:t>An interlaced waveform can have benefits in some scenarios including</w:t>
      </w:r>
    </w:p>
    <w:p w14:paraId="5976DE8F" w14:textId="77777777" w:rsidR="00185774" w:rsidRPr="00CB0A14" w:rsidRDefault="00185774" w:rsidP="00185774">
      <w:pPr>
        <w:numPr>
          <w:ilvl w:val="1"/>
          <w:numId w:val="51"/>
        </w:numPr>
        <w:overflowPunct/>
        <w:autoSpaceDE/>
        <w:autoSpaceDN/>
        <w:adjustRightInd/>
        <w:spacing w:after="0"/>
        <w:textAlignment w:val="auto"/>
        <w:rPr>
          <w:i/>
          <w:lang w:eastAsia="x-none"/>
        </w:rPr>
      </w:pPr>
      <w:r w:rsidRPr="00CB0A14">
        <w:rPr>
          <w:i/>
        </w:rPr>
        <w:t>Link budget limited cases with given PSD constraint</w:t>
      </w:r>
    </w:p>
    <w:p w14:paraId="4044F3C8" w14:textId="77777777" w:rsidR="00185774" w:rsidRPr="00CB0A14" w:rsidRDefault="00185774" w:rsidP="00185774">
      <w:pPr>
        <w:numPr>
          <w:ilvl w:val="1"/>
          <w:numId w:val="51"/>
        </w:numPr>
        <w:overflowPunct/>
        <w:autoSpaceDE/>
        <w:autoSpaceDN/>
        <w:adjustRightInd/>
        <w:spacing w:after="0"/>
        <w:textAlignment w:val="auto"/>
        <w:rPr>
          <w:i/>
          <w:lang w:eastAsia="x-none"/>
        </w:rPr>
      </w:pPr>
      <w:r w:rsidRPr="00CB0A14">
        <w:rPr>
          <w:i/>
        </w:rPr>
        <w:t xml:space="preserve">As one option to efficiently meet the occupied channel bandwidth requirement. </w:t>
      </w:r>
    </w:p>
    <w:p w14:paraId="304925B6" w14:textId="77777777" w:rsidR="00185774" w:rsidRPr="00CB0A14" w:rsidRDefault="00185774" w:rsidP="00185774">
      <w:pPr>
        <w:numPr>
          <w:ilvl w:val="0"/>
          <w:numId w:val="51"/>
        </w:numPr>
        <w:overflowPunct/>
        <w:autoSpaceDE/>
        <w:autoSpaceDN/>
        <w:adjustRightInd/>
        <w:spacing w:after="0"/>
        <w:textAlignment w:val="auto"/>
        <w:rPr>
          <w:i/>
          <w:lang w:eastAsia="x-none"/>
        </w:rPr>
      </w:pPr>
      <w:r w:rsidRPr="00CB0A14">
        <w:rPr>
          <w:i/>
          <w:lang w:eastAsia="x-none"/>
        </w:rPr>
        <w:t>A waveform contiguous in frequency may be adequate in some scenarios</w:t>
      </w:r>
    </w:p>
    <w:p w14:paraId="013879BC" w14:textId="77777777" w:rsidR="00185774" w:rsidRPr="00CB0A14" w:rsidRDefault="00185774" w:rsidP="00185774">
      <w:pPr>
        <w:numPr>
          <w:ilvl w:val="1"/>
          <w:numId w:val="52"/>
        </w:numPr>
        <w:overflowPunct/>
        <w:autoSpaceDE/>
        <w:autoSpaceDN/>
        <w:adjustRightInd/>
        <w:spacing w:after="0"/>
        <w:textAlignment w:val="auto"/>
        <w:rPr>
          <w:i/>
          <w:lang w:eastAsia="x-none"/>
        </w:rPr>
      </w:pPr>
      <w:r w:rsidRPr="00CB0A14">
        <w:rPr>
          <w:i/>
        </w:rPr>
        <w:t>To inherit legacy contiguous allocation designs.</w:t>
      </w:r>
    </w:p>
    <w:p w14:paraId="6EA2C0C4" w14:textId="77777777" w:rsidR="00185774" w:rsidRPr="00CB0A14" w:rsidRDefault="00185774" w:rsidP="00FF2A3C">
      <w:pPr>
        <w:ind w:left="357"/>
        <w:rPr>
          <w:i/>
          <w:lang w:eastAsia="x-none"/>
        </w:rPr>
      </w:pPr>
      <w:r w:rsidRPr="00CB0A14">
        <w:rPr>
          <w:i/>
          <w:lang w:eastAsia="x-none"/>
        </w:rPr>
        <w:t>Note: It is RAN1’s understanding that the temporal allowance of not meeting occupied channel bandwidth by regulation can be exploited if the minimum bandwidth requirement, e.g., 2 MHz, is satisfied.</w:t>
      </w:r>
    </w:p>
    <w:p w14:paraId="050D6525" w14:textId="77777777" w:rsidR="00185774" w:rsidRPr="00CB0A14" w:rsidRDefault="00185774" w:rsidP="00185774">
      <w:pPr>
        <w:pStyle w:val="bullet"/>
        <w:numPr>
          <w:ilvl w:val="0"/>
          <w:numId w:val="0"/>
        </w:numPr>
      </w:pPr>
      <w:r w:rsidRPr="00CB0A14">
        <w:t>Agreement: [3]</w:t>
      </w:r>
    </w:p>
    <w:p w14:paraId="6DEDF95B" w14:textId="77777777" w:rsidR="00185774" w:rsidRPr="00CB0A14" w:rsidRDefault="00185774" w:rsidP="00185774">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Support for Rel-15 NR PUCCH formats can be considered. Exclusion of the support of certain formats is to be identified. </w:t>
      </w:r>
    </w:p>
    <w:p w14:paraId="5D840BBF" w14:textId="77777777" w:rsidR="00185774" w:rsidRPr="00CB0A14" w:rsidRDefault="00185774" w:rsidP="00185774">
      <w:pPr>
        <w:pStyle w:val="ListParagraph"/>
        <w:widowControl w:val="0"/>
        <w:numPr>
          <w:ilvl w:val="1"/>
          <w:numId w:val="52"/>
        </w:numPr>
        <w:spacing w:after="60"/>
        <w:ind w:left="1134" w:hanging="425"/>
        <w:jc w:val="both"/>
        <w:rPr>
          <w:i/>
          <w:sz w:val="20"/>
          <w:szCs w:val="20"/>
          <w:lang w:val="en-GB"/>
        </w:rPr>
      </w:pPr>
      <w:r w:rsidRPr="00CB0A14">
        <w:rPr>
          <w:i/>
          <w:sz w:val="20"/>
          <w:szCs w:val="20"/>
          <w:lang w:val="en-GB"/>
        </w:rPr>
        <w:t xml:space="preserve">Note: It is RAN1’s understanding that certain formats do not meet the minimum bandwidth requirement by regulation. </w:t>
      </w:r>
    </w:p>
    <w:p w14:paraId="2DC3899C" w14:textId="77777777" w:rsidR="00185774" w:rsidRPr="00CB0A14" w:rsidRDefault="00185774" w:rsidP="00185774">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It is identified that block-interlaced based PUSCH can be beneficial. </w:t>
      </w:r>
    </w:p>
    <w:p w14:paraId="4182FCBD" w14:textId="77777777" w:rsidR="00185774" w:rsidRPr="00CB0A14" w:rsidRDefault="00185774" w:rsidP="00185774">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It is beneficial to use the same interlace structure for PUCCH and PUSCH. </w:t>
      </w:r>
    </w:p>
    <w:p w14:paraId="5926BB0C" w14:textId="77777777" w:rsidR="00185774" w:rsidRPr="00CB0A14" w:rsidRDefault="00185774" w:rsidP="00185774">
      <w:pPr>
        <w:numPr>
          <w:ilvl w:val="0"/>
          <w:numId w:val="52"/>
        </w:numPr>
        <w:overflowPunct/>
        <w:autoSpaceDE/>
        <w:autoSpaceDN/>
        <w:adjustRightInd/>
        <w:spacing w:after="0"/>
        <w:ind w:left="709" w:hanging="425"/>
        <w:textAlignment w:val="auto"/>
        <w:rPr>
          <w:i/>
        </w:rPr>
      </w:pPr>
      <w:r w:rsidRPr="00CB0A14">
        <w:rPr>
          <w:i/>
          <w:lang w:eastAsia="x-none"/>
        </w:rPr>
        <w:t>The following aspects can be considered for interlace waveform based PUCCH design:</w:t>
      </w:r>
    </w:p>
    <w:p w14:paraId="3DE293C6" w14:textId="77777777" w:rsidR="00185774" w:rsidRPr="00CB0A14" w:rsidRDefault="00185774" w:rsidP="00185774">
      <w:pPr>
        <w:numPr>
          <w:ilvl w:val="1"/>
          <w:numId w:val="52"/>
        </w:numPr>
        <w:overflowPunct/>
        <w:autoSpaceDE/>
        <w:autoSpaceDN/>
        <w:adjustRightInd/>
        <w:spacing w:after="0"/>
        <w:ind w:left="1134" w:hanging="425"/>
        <w:textAlignment w:val="auto"/>
        <w:rPr>
          <w:i/>
        </w:rPr>
      </w:pPr>
      <w:r w:rsidRPr="00CB0A14">
        <w:rPr>
          <w:i/>
          <w:lang w:eastAsia="x-none"/>
        </w:rPr>
        <w:t>Flexible number of OFDM symbols</w:t>
      </w:r>
    </w:p>
    <w:p w14:paraId="384BF9A8" w14:textId="77777777" w:rsidR="00185774" w:rsidRPr="00CB0A14" w:rsidRDefault="00185774" w:rsidP="00185774">
      <w:pPr>
        <w:numPr>
          <w:ilvl w:val="1"/>
          <w:numId w:val="52"/>
        </w:numPr>
        <w:overflowPunct/>
        <w:autoSpaceDE/>
        <w:autoSpaceDN/>
        <w:adjustRightInd/>
        <w:spacing w:after="0"/>
        <w:ind w:left="1134" w:hanging="425"/>
        <w:textAlignment w:val="auto"/>
        <w:rPr>
          <w:i/>
        </w:rPr>
      </w:pPr>
      <w:r w:rsidRPr="00CB0A14">
        <w:rPr>
          <w:i/>
          <w:lang w:eastAsia="x-none"/>
        </w:rPr>
        <w:t>Flexible payload size</w:t>
      </w:r>
    </w:p>
    <w:p w14:paraId="55B57CFE" w14:textId="77777777" w:rsidR="00185774" w:rsidRPr="00CB0A14" w:rsidRDefault="00185774" w:rsidP="00185774">
      <w:pPr>
        <w:numPr>
          <w:ilvl w:val="1"/>
          <w:numId w:val="52"/>
        </w:numPr>
        <w:overflowPunct/>
        <w:autoSpaceDE/>
        <w:autoSpaceDN/>
        <w:adjustRightInd/>
        <w:spacing w:after="0"/>
        <w:ind w:left="1134" w:hanging="425"/>
        <w:textAlignment w:val="auto"/>
        <w:rPr>
          <w:i/>
        </w:rPr>
      </w:pPr>
      <w:r w:rsidRPr="00CB0A14">
        <w:rPr>
          <w:i/>
          <w:lang w:eastAsia="x-none"/>
        </w:rPr>
        <w:t>User multiplexing</w:t>
      </w:r>
    </w:p>
    <w:p w14:paraId="2E8909BF" w14:textId="77777777" w:rsidR="00185774" w:rsidRPr="00CB0A14" w:rsidRDefault="00185774" w:rsidP="00185774">
      <w:pPr>
        <w:numPr>
          <w:ilvl w:val="1"/>
          <w:numId w:val="52"/>
        </w:numPr>
        <w:overflowPunct/>
        <w:autoSpaceDE/>
        <w:autoSpaceDN/>
        <w:adjustRightInd/>
        <w:spacing w:after="0"/>
        <w:ind w:left="1134" w:hanging="425"/>
        <w:textAlignment w:val="auto"/>
        <w:rPr>
          <w:lang w:eastAsia="x-none"/>
        </w:rPr>
      </w:pPr>
      <w:r w:rsidRPr="00CB0A14">
        <w:rPr>
          <w:i/>
          <w:lang w:eastAsia="x-none"/>
        </w:rPr>
        <w:t>Number of formats.</w:t>
      </w:r>
    </w:p>
    <w:p w14:paraId="09C49200" w14:textId="77777777" w:rsidR="00185774" w:rsidRPr="00CB0A14" w:rsidRDefault="00185774" w:rsidP="00FF2A3C">
      <w:pPr>
        <w:pStyle w:val="bullet"/>
        <w:numPr>
          <w:ilvl w:val="0"/>
          <w:numId w:val="0"/>
        </w:numPr>
        <w:spacing w:before="180"/>
      </w:pPr>
      <w:r w:rsidRPr="00CB0A14">
        <w:t>Agreement: [3]</w:t>
      </w:r>
    </w:p>
    <w:p w14:paraId="5521C74A" w14:textId="77777777" w:rsidR="00185774" w:rsidRPr="00CB0A14" w:rsidRDefault="00185774" w:rsidP="00FF2A3C">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Support for Rel-15 NR PRACH formats can be considered. Exclusion of the support of certain formats is to be identified. </w:t>
      </w:r>
    </w:p>
    <w:p w14:paraId="0BE7520E" w14:textId="77777777" w:rsidR="00185774" w:rsidRPr="00CB0A14" w:rsidRDefault="00185774" w:rsidP="00185774">
      <w:pPr>
        <w:pStyle w:val="ListParagraph"/>
        <w:widowControl w:val="0"/>
        <w:numPr>
          <w:ilvl w:val="1"/>
          <w:numId w:val="52"/>
        </w:numPr>
        <w:spacing w:after="60"/>
        <w:jc w:val="both"/>
        <w:rPr>
          <w:i/>
          <w:sz w:val="20"/>
          <w:szCs w:val="20"/>
          <w:lang w:val="en-GB"/>
        </w:rPr>
      </w:pPr>
      <w:r w:rsidRPr="00CB0A14">
        <w:rPr>
          <w:i/>
          <w:sz w:val="20"/>
          <w:szCs w:val="20"/>
          <w:lang w:val="en-GB"/>
        </w:rPr>
        <w:t xml:space="preserve">Note: It is RAN1’s understanding that certain formats do not meet the minimum bandwidth requirement by regulation. </w:t>
      </w:r>
    </w:p>
    <w:p w14:paraId="44439357" w14:textId="77777777" w:rsidR="00185774" w:rsidRPr="00CB0A14" w:rsidRDefault="00185774" w:rsidP="00FF2A3C">
      <w:pPr>
        <w:pStyle w:val="ListParagraph"/>
        <w:widowControl w:val="0"/>
        <w:numPr>
          <w:ilvl w:val="0"/>
          <w:numId w:val="52"/>
        </w:numPr>
        <w:spacing w:after="60"/>
        <w:ind w:left="709" w:hanging="425"/>
        <w:jc w:val="both"/>
        <w:rPr>
          <w:i/>
          <w:sz w:val="20"/>
          <w:szCs w:val="20"/>
          <w:lang w:val="en-GB"/>
        </w:rPr>
      </w:pPr>
      <w:r w:rsidRPr="00CB0A14">
        <w:rPr>
          <w:i/>
          <w:sz w:val="20"/>
          <w:szCs w:val="20"/>
          <w:lang w:val="en-GB"/>
        </w:rPr>
        <w:t xml:space="preserve">It is identified that interlaced based PRACH can be beneficial. </w:t>
      </w:r>
    </w:p>
    <w:p w14:paraId="6F78498B" w14:textId="77777777" w:rsidR="00185774" w:rsidRPr="00CB0A14" w:rsidRDefault="00185774" w:rsidP="00FF2A3C">
      <w:pPr>
        <w:numPr>
          <w:ilvl w:val="0"/>
          <w:numId w:val="52"/>
        </w:numPr>
        <w:overflowPunct/>
        <w:autoSpaceDE/>
        <w:autoSpaceDN/>
        <w:adjustRightInd/>
        <w:spacing w:after="0"/>
        <w:ind w:left="709" w:hanging="425"/>
        <w:textAlignment w:val="auto"/>
        <w:rPr>
          <w:i/>
          <w:lang w:eastAsia="x-none"/>
        </w:rPr>
      </w:pPr>
      <w:r w:rsidRPr="00CB0A14">
        <w:rPr>
          <w:i/>
          <w:lang w:eastAsia="x-none"/>
        </w:rPr>
        <w:t>The following aspects can be considered for Interlace waveform based PRACH design for 4-step random access:</w:t>
      </w:r>
    </w:p>
    <w:p w14:paraId="74AA4AA3"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Interlacing based on PRB or REs</w:t>
      </w:r>
    </w:p>
    <w:p w14:paraId="43FE33D8"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cell sizes</w:t>
      </w:r>
    </w:p>
    <w:p w14:paraId="0A17BD37"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PRACH capacity</w:t>
      </w:r>
    </w:p>
    <w:p w14:paraId="4BC28EFE"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false alarm and detection rates</w:t>
      </w:r>
    </w:p>
    <w:p w14:paraId="01F47FF7"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Targeted timing estimation accuracy</w:t>
      </w:r>
    </w:p>
    <w:p w14:paraId="1BDDEA78"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Number of formats</w:t>
      </w:r>
    </w:p>
    <w:p w14:paraId="2B78B8DE" w14:textId="77777777" w:rsidR="00185774" w:rsidRPr="00CB0A14" w:rsidRDefault="00185774" w:rsidP="00FF2A3C">
      <w:pPr>
        <w:numPr>
          <w:ilvl w:val="1"/>
          <w:numId w:val="52"/>
        </w:numPr>
        <w:overflowPunct/>
        <w:autoSpaceDE/>
        <w:autoSpaceDN/>
        <w:adjustRightInd/>
        <w:spacing w:after="0"/>
        <w:ind w:left="1134"/>
        <w:textAlignment w:val="auto"/>
        <w:rPr>
          <w:i/>
          <w:lang w:eastAsia="x-none"/>
        </w:rPr>
      </w:pPr>
      <w:r w:rsidRPr="00CB0A14">
        <w:rPr>
          <w:i/>
          <w:lang w:eastAsia="x-none"/>
        </w:rPr>
        <w:t>Multiplexing with other channels such as block interlaced PUCCH and PUSCH.</w:t>
      </w:r>
    </w:p>
    <w:p w14:paraId="03CC7113" w14:textId="77777777" w:rsidR="0084499F" w:rsidRPr="00CB0A14" w:rsidRDefault="0084499F" w:rsidP="0084499F">
      <w:pPr>
        <w:pStyle w:val="bullet"/>
        <w:numPr>
          <w:ilvl w:val="0"/>
          <w:numId w:val="0"/>
        </w:numPr>
        <w:spacing w:before="180"/>
      </w:pPr>
      <w:r w:rsidRPr="00CB0A14">
        <w:t>Agreement: [3]</w:t>
      </w:r>
    </w:p>
    <w:p w14:paraId="58CB5D73" w14:textId="77777777" w:rsidR="0084499F" w:rsidRPr="00CB0A14" w:rsidRDefault="0084499F" w:rsidP="00FF2A3C">
      <w:pPr>
        <w:numPr>
          <w:ilvl w:val="0"/>
          <w:numId w:val="58"/>
        </w:numPr>
        <w:overflowPunct/>
        <w:autoSpaceDE/>
        <w:autoSpaceDN/>
        <w:adjustRightInd/>
        <w:spacing w:after="0"/>
        <w:ind w:hanging="436"/>
        <w:jc w:val="both"/>
        <w:textAlignment w:val="auto"/>
        <w:rPr>
          <w:i/>
          <w:lang w:eastAsia="x-none"/>
        </w:rPr>
      </w:pPr>
      <w:r w:rsidRPr="00CB0A14">
        <w:rPr>
          <w:i/>
          <w:lang w:eastAsia="x-none"/>
        </w:rPr>
        <w:t>It is identified that being able to operate all DL signal/channels with the same numerology for a carrier and at least for intra-band CA on serving cells on unlicensed bands has at least the following benefits (at least for standalone operation, FFS whether this is benefit is realizable for inter-operator measurements)</w:t>
      </w:r>
    </w:p>
    <w:p w14:paraId="0CCCF300" w14:textId="77777777" w:rsidR="0084499F" w:rsidRPr="00CB0A14" w:rsidRDefault="0084499F" w:rsidP="00FF2A3C">
      <w:pPr>
        <w:numPr>
          <w:ilvl w:val="1"/>
          <w:numId w:val="58"/>
        </w:numPr>
        <w:overflowPunct/>
        <w:autoSpaceDE/>
        <w:autoSpaceDN/>
        <w:adjustRightInd/>
        <w:spacing w:after="0"/>
        <w:ind w:left="1134" w:hanging="425"/>
        <w:jc w:val="both"/>
        <w:textAlignment w:val="auto"/>
        <w:rPr>
          <w:i/>
          <w:lang w:eastAsia="x-none"/>
        </w:rPr>
      </w:pPr>
      <w:r w:rsidRPr="00CB0A14">
        <w:rPr>
          <w:i/>
          <w:lang w:eastAsia="x-none"/>
        </w:rPr>
        <w:t>Lower implementation complexity (e.g., a single FFT, no switching gaps)</w:t>
      </w:r>
    </w:p>
    <w:p w14:paraId="2D9301E5" w14:textId="77777777" w:rsidR="0084499F" w:rsidRPr="00CB0A14" w:rsidRDefault="0084499F" w:rsidP="00FF2A3C">
      <w:pPr>
        <w:numPr>
          <w:ilvl w:val="1"/>
          <w:numId w:val="58"/>
        </w:numPr>
        <w:overflowPunct/>
        <w:autoSpaceDE/>
        <w:autoSpaceDN/>
        <w:adjustRightInd/>
        <w:spacing w:after="0"/>
        <w:ind w:left="1134" w:hanging="425"/>
        <w:textAlignment w:val="auto"/>
        <w:rPr>
          <w:i/>
          <w:lang w:eastAsia="x-none"/>
        </w:rPr>
      </w:pPr>
      <w:r w:rsidRPr="00CB0A14">
        <w:rPr>
          <w:i/>
          <w:lang w:eastAsia="x-none"/>
        </w:rPr>
        <w:t>Lower specification impact</w:t>
      </w:r>
    </w:p>
    <w:p w14:paraId="7BBC7F30" w14:textId="77777777" w:rsidR="0084499F" w:rsidRPr="00CB0A14" w:rsidRDefault="0084499F" w:rsidP="00FF2A3C">
      <w:pPr>
        <w:numPr>
          <w:ilvl w:val="1"/>
          <w:numId w:val="58"/>
        </w:numPr>
        <w:overflowPunct/>
        <w:autoSpaceDE/>
        <w:autoSpaceDN/>
        <w:adjustRightInd/>
        <w:spacing w:after="0"/>
        <w:ind w:left="1134" w:hanging="425"/>
        <w:textAlignment w:val="auto"/>
        <w:rPr>
          <w:i/>
          <w:lang w:eastAsia="x-none"/>
        </w:rPr>
      </w:pPr>
      <w:r w:rsidRPr="00CB0A14">
        <w:rPr>
          <w:i/>
          <w:lang w:eastAsia="x-none"/>
        </w:rPr>
        <w:t>No need for gaps for measurements on frequencies with a configured serving cell in unlicensed bands</w:t>
      </w:r>
    </w:p>
    <w:p w14:paraId="09683BD8" w14:textId="77777777" w:rsidR="0084499F" w:rsidRPr="00CB0A14" w:rsidRDefault="0084499F" w:rsidP="00FF2A3C">
      <w:pPr>
        <w:numPr>
          <w:ilvl w:val="0"/>
          <w:numId w:val="58"/>
        </w:numPr>
        <w:overflowPunct/>
        <w:autoSpaceDE/>
        <w:autoSpaceDN/>
        <w:adjustRightInd/>
        <w:spacing w:after="0"/>
        <w:ind w:hanging="436"/>
        <w:jc w:val="both"/>
        <w:textAlignment w:val="auto"/>
        <w:rPr>
          <w:i/>
          <w:lang w:eastAsia="x-none"/>
        </w:rPr>
      </w:pPr>
      <w:r w:rsidRPr="00CB0A14">
        <w:rPr>
          <w:i/>
          <w:lang w:eastAsia="x-none"/>
        </w:rPr>
        <w:t xml:space="preserve">It is identified that being able to operate all UL signal/channels with the same numerology for a carrier and at least for intra-band CA on serving cells on unlicensed bands has at least the following benefits </w:t>
      </w:r>
    </w:p>
    <w:p w14:paraId="7ECC740E"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Lower implementation complexity (e.g., a single FFT, no switching gaps)</w:t>
      </w:r>
    </w:p>
    <w:p w14:paraId="048D2BD5"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Lower specification impact</w:t>
      </w:r>
    </w:p>
    <w:p w14:paraId="36D74FD7"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Common interlace structure</w:t>
      </w:r>
    </w:p>
    <w:p w14:paraId="7D1EAD30"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No need for gaps for transmission of SRS on a configured serving cell in unlicensed bands</w:t>
      </w:r>
    </w:p>
    <w:p w14:paraId="1CE71296" w14:textId="77777777" w:rsidR="0084499F" w:rsidRPr="00CB0A14" w:rsidRDefault="0084499F" w:rsidP="00FF2A3C">
      <w:pPr>
        <w:numPr>
          <w:ilvl w:val="1"/>
          <w:numId w:val="58"/>
        </w:numPr>
        <w:overflowPunct/>
        <w:autoSpaceDE/>
        <w:autoSpaceDN/>
        <w:adjustRightInd/>
        <w:spacing w:after="0"/>
        <w:ind w:left="1134" w:hanging="283"/>
        <w:jc w:val="both"/>
        <w:textAlignment w:val="auto"/>
        <w:rPr>
          <w:i/>
          <w:lang w:eastAsia="x-none"/>
        </w:rPr>
      </w:pPr>
      <w:r w:rsidRPr="00CB0A14">
        <w:rPr>
          <w:i/>
          <w:lang w:eastAsia="x-none"/>
        </w:rPr>
        <w:t>FFS: PRACH benefits</w:t>
      </w:r>
    </w:p>
    <w:p w14:paraId="67C0B99D" w14:textId="77777777" w:rsidR="0084499F" w:rsidRPr="00CB0A14" w:rsidRDefault="0084499F" w:rsidP="00FF2A3C">
      <w:pPr>
        <w:numPr>
          <w:ilvl w:val="0"/>
          <w:numId w:val="58"/>
        </w:numPr>
        <w:overflowPunct/>
        <w:autoSpaceDE/>
        <w:autoSpaceDN/>
        <w:adjustRightInd/>
        <w:spacing w:after="0"/>
        <w:jc w:val="both"/>
        <w:textAlignment w:val="auto"/>
        <w:rPr>
          <w:i/>
          <w:lang w:eastAsia="x-none"/>
        </w:rPr>
      </w:pPr>
      <w:r w:rsidRPr="00CB0A14">
        <w:rPr>
          <w:i/>
          <w:lang w:eastAsia="x-none"/>
        </w:rPr>
        <w:t>FFS: same numerology for DL and UL considering switching gap</w:t>
      </w:r>
    </w:p>
    <w:p w14:paraId="12EE7D79" w14:textId="59C43222" w:rsidR="003508C7" w:rsidRPr="00CB0A14" w:rsidRDefault="003508C7" w:rsidP="00FF2A3C">
      <w:pPr>
        <w:pStyle w:val="bullet"/>
        <w:numPr>
          <w:ilvl w:val="0"/>
          <w:numId w:val="0"/>
        </w:numPr>
        <w:spacing w:before="180"/>
      </w:pPr>
      <w:r w:rsidRPr="00CB0A14">
        <w:rPr>
          <w:szCs w:val="20"/>
        </w:rPr>
        <w:t>Agreement: [4]</w:t>
      </w:r>
    </w:p>
    <w:p w14:paraId="62504314" w14:textId="77777777" w:rsidR="003508C7" w:rsidRPr="00CB0A14" w:rsidRDefault="003508C7" w:rsidP="00DF1371">
      <w:pPr>
        <w:pStyle w:val="ListParagraph"/>
        <w:numPr>
          <w:ilvl w:val="0"/>
          <w:numId w:val="59"/>
        </w:numPr>
        <w:jc w:val="both"/>
        <w:rPr>
          <w:i/>
          <w:sz w:val="20"/>
          <w:szCs w:val="20"/>
          <w:lang w:val="en-GB"/>
        </w:rPr>
      </w:pPr>
      <w:r w:rsidRPr="00CB0A14">
        <w:rPr>
          <w:i/>
          <w:sz w:val="20"/>
          <w:szCs w:val="20"/>
          <w:lang w:val="en-GB"/>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3C2A31FA" w14:textId="77777777" w:rsidR="003508C7" w:rsidRPr="00CB0A14" w:rsidRDefault="003508C7" w:rsidP="00FF2A3C">
      <w:pPr>
        <w:pStyle w:val="ListParagraph"/>
        <w:numPr>
          <w:ilvl w:val="1"/>
          <w:numId w:val="59"/>
        </w:numPr>
        <w:ind w:left="1134" w:hanging="283"/>
        <w:jc w:val="both"/>
        <w:rPr>
          <w:i/>
          <w:sz w:val="20"/>
          <w:szCs w:val="20"/>
          <w:lang w:val="en-GB"/>
        </w:rPr>
      </w:pPr>
      <w:r w:rsidRPr="00CB0A14">
        <w:rPr>
          <w:i/>
          <w:sz w:val="20"/>
          <w:szCs w:val="20"/>
          <w:lang w:val="en-GB"/>
        </w:rPr>
        <w:t>Note: This is only from a user-multiplexing perspective. Other aspects of PRACH design need to be considered, i.e., timing estimation accuracy, miss detection rate, PAPR, RACH capacity, transmission power</w:t>
      </w:r>
    </w:p>
    <w:p w14:paraId="39CC2A3F" w14:textId="77777777" w:rsidR="003508C7" w:rsidRPr="00CB0A14" w:rsidRDefault="003508C7" w:rsidP="00DF1371">
      <w:pPr>
        <w:pStyle w:val="ListParagraph"/>
        <w:numPr>
          <w:ilvl w:val="0"/>
          <w:numId w:val="59"/>
        </w:numPr>
        <w:jc w:val="both"/>
        <w:rPr>
          <w:i/>
          <w:sz w:val="20"/>
          <w:szCs w:val="20"/>
          <w:lang w:val="en-GB"/>
        </w:rPr>
      </w:pPr>
      <w:r w:rsidRPr="00CB0A14">
        <w:rPr>
          <w:i/>
          <w:sz w:val="20"/>
          <w:szCs w:val="20"/>
          <w:lang w:val="en-GB"/>
        </w:rPr>
        <w:t>For scenarios in which a contiguous allocation for PUSCH and PUCCH is used, it is beneficial to use contiguous resource allocation for PRACH</w:t>
      </w:r>
    </w:p>
    <w:p w14:paraId="2B14DAAA" w14:textId="38269448" w:rsidR="003508C7" w:rsidRPr="00CB0A14" w:rsidRDefault="003508C7" w:rsidP="00FF2A3C">
      <w:pPr>
        <w:pStyle w:val="ListParagraph"/>
        <w:numPr>
          <w:ilvl w:val="0"/>
          <w:numId w:val="59"/>
        </w:numPr>
        <w:jc w:val="both"/>
        <w:rPr>
          <w:i/>
          <w:lang w:val="en-GB"/>
        </w:rPr>
      </w:pPr>
      <w:bookmarkStart w:id="4" w:name="_Hlk525485026"/>
      <w:r w:rsidRPr="00CB0A14">
        <w:rPr>
          <w:i/>
          <w:sz w:val="20"/>
          <w:szCs w:val="20"/>
          <w:lang w:val="en-GB"/>
        </w:rPr>
        <w:t>FFS: Potential LBT blocking due to TA difference between FDM’d PUSCH, PUCCH, and PRACH</w:t>
      </w:r>
    </w:p>
    <w:bookmarkEnd w:id="4"/>
    <w:p w14:paraId="5A156ED1" w14:textId="7450F026" w:rsidR="003508C7" w:rsidRPr="00CB0A14" w:rsidRDefault="003508C7" w:rsidP="00FF2A3C">
      <w:pPr>
        <w:pStyle w:val="bullet"/>
        <w:numPr>
          <w:ilvl w:val="0"/>
          <w:numId w:val="0"/>
        </w:numPr>
        <w:spacing w:before="180"/>
      </w:pPr>
      <w:r w:rsidRPr="00CB0A14">
        <w:rPr>
          <w:szCs w:val="20"/>
        </w:rPr>
        <w:t>Agreement: [4]</w:t>
      </w:r>
    </w:p>
    <w:p w14:paraId="03493793" w14:textId="77777777" w:rsidR="003508C7" w:rsidRPr="00CB0A14" w:rsidRDefault="003508C7" w:rsidP="00FF2A3C">
      <w:pPr>
        <w:numPr>
          <w:ilvl w:val="0"/>
          <w:numId w:val="60"/>
        </w:numPr>
        <w:overflowPunct/>
        <w:autoSpaceDE/>
        <w:autoSpaceDN/>
        <w:adjustRightInd/>
        <w:spacing w:after="0"/>
        <w:jc w:val="both"/>
        <w:textAlignment w:val="auto"/>
        <w:rPr>
          <w:i/>
          <w:lang w:val="en-US" w:eastAsia="x-none"/>
        </w:rPr>
      </w:pPr>
      <w:r w:rsidRPr="00CB0A14">
        <w:rPr>
          <w:i/>
          <w:lang w:val="en-US" w:eastAsia="x-none"/>
        </w:rPr>
        <w:t>For scenarios in which a block-interlaced waveform is used for UL transmission, a PRB-based block-interlace design has been identified as beneficial at least for 15 and 30 kHz SCS, and potentially for 60 kHz SCS</w:t>
      </w:r>
    </w:p>
    <w:p w14:paraId="2AE5A83E"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Link budget limited cases with given PSD constraint</w:t>
      </w:r>
    </w:p>
    <w:p w14:paraId="477421F3"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It is observed that power boosting gains decrease with increasing SCS</w:t>
      </w:r>
    </w:p>
    <w:p w14:paraId="4D474670"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As one option to efficiently meet the occupied channel bandwidth requirement</w:t>
      </w:r>
    </w:p>
    <w:p w14:paraId="42660463"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 xml:space="preserve">Comparatively less specification impact than Sub-PRB interlace design </w:t>
      </w:r>
    </w:p>
    <w:p w14:paraId="5EC331AA" w14:textId="77777777" w:rsidR="003508C7" w:rsidRPr="00CB0A14" w:rsidRDefault="003508C7" w:rsidP="00FF2A3C">
      <w:pPr>
        <w:numPr>
          <w:ilvl w:val="0"/>
          <w:numId w:val="60"/>
        </w:numPr>
        <w:overflowPunct/>
        <w:autoSpaceDE/>
        <w:autoSpaceDN/>
        <w:adjustRightInd/>
        <w:spacing w:after="0"/>
        <w:jc w:val="both"/>
        <w:textAlignment w:val="auto"/>
        <w:rPr>
          <w:i/>
          <w:lang w:val="en-US" w:eastAsia="x-none"/>
        </w:rPr>
      </w:pPr>
      <w:r w:rsidRPr="00CB0A14">
        <w:rPr>
          <w:i/>
          <w:lang w:val="en-US" w:eastAsia="x-none"/>
        </w:rPr>
        <w:t>Design for 60 kHz requires further discussion, e.g., sub-PRB vs. PRB-based block interlace designs</w:t>
      </w:r>
    </w:p>
    <w:p w14:paraId="01552F96" w14:textId="77777777" w:rsidR="003508C7" w:rsidRPr="00CB0A14" w:rsidRDefault="003508C7" w:rsidP="00FF2A3C">
      <w:pPr>
        <w:numPr>
          <w:ilvl w:val="0"/>
          <w:numId w:val="60"/>
        </w:numPr>
        <w:overflowPunct/>
        <w:autoSpaceDE/>
        <w:autoSpaceDN/>
        <w:adjustRightInd/>
        <w:spacing w:after="0"/>
        <w:jc w:val="both"/>
        <w:textAlignment w:val="auto"/>
        <w:rPr>
          <w:i/>
          <w:lang w:val="en-US" w:eastAsia="x-none"/>
        </w:rPr>
      </w:pPr>
      <w:r w:rsidRPr="00CB0A14">
        <w:rPr>
          <w:i/>
          <w:lang w:val="en-US" w:eastAsia="x-none"/>
        </w:rPr>
        <w:t>The following has been observed for sub-PRB block interlace designs</w:t>
      </w:r>
    </w:p>
    <w:p w14:paraId="3C0F4564"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In some scenarios sub-PRB interlacing can be beneficial in terms of power boosting</w:t>
      </w:r>
    </w:p>
    <w:p w14:paraId="30E5D423"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FFS: scenario details, e.g., small resource allocations</w:t>
      </w:r>
    </w:p>
    <w:p w14:paraId="7C081A9A" w14:textId="77777777" w:rsidR="003508C7" w:rsidRPr="00CB0A14" w:rsidRDefault="003508C7" w:rsidP="00FF2A3C">
      <w:pPr>
        <w:numPr>
          <w:ilvl w:val="1"/>
          <w:numId w:val="60"/>
        </w:numPr>
        <w:overflowPunct/>
        <w:autoSpaceDE/>
        <w:autoSpaceDN/>
        <w:adjustRightInd/>
        <w:spacing w:after="0"/>
        <w:jc w:val="both"/>
        <w:textAlignment w:val="auto"/>
        <w:rPr>
          <w:i/>
          <w:lang w:val="en-US" w:eastAsia="x-none"/>
        </w:rPr>
      </w:pPr>
      <w:r w:rsidRPr="00CB0A14">
        <w:rPr>
          <w:i/>
          <w:lang w:val="en-US" w:eastAsia="x-none"/>
        </w:rPr>
        <w:t>Sub-PRB interlace design has at least the following specification impact:</w:t>
      </w:r>
    </w:p>
    <w:p w14:paraId="5DF1889E"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Reference signal design (e.g., DMRS)</w:t>
      </w:r>
    </w:p>
    <w:p w14:paraId="16130D36"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Channel estimation aspects</w:t>
      </w:r>
    </w:p>
    <w:p w14:paraId="73EE9519" w14:textId="77777777" w:rsidR="003508C7" w:rsidRPr="00CB0A14" w:rsidRDefault="003508C7" w:rsidP="00FF2A3C">
      <w:pPr>
        <w:numPr>
          <w:ilvl w:val="2"/>
          <w:numId w:val="60"/>
        </w:numPr>
        <w:overflowPunct/>
        <w:autoSpaceDE/>
        <w:autoSpaceDN/>
        <w:adjustRightInd/>
        <w:spacing w:after="0"/>
        <w:jc w:val="both"/>
        <w:textAlignment w:val="auto"/>
        <w:rPr>
          <w:i/>
          <w:lang w:val="en-US" w:eastAsia="x-none"/>
        </w:rPr>
      </w:pPr>
      <w:r w:rsidRPr="00CB0A14">
        <w:rPr>
          <w:i/>
          <w:lang w:val="en-US" w:eastAsia="x-none"/>
        </w:rPr>
        <w:t>Resource allocation</w:t>
      </w:r>
    </w:p>
    <w:p w14:paraId="41F7E0F9" w14:textId="296A103D" w:rsidR="003508C7" w:rsidRPr="00CB0A14" w:rsidRDefault="003508C7" w:rsidP="00FF2A3C">
      <w:pPr>
        <w:pStyle w:val="bullet"/>
        <w:numPr>
          <w:ilvl w:val="0"/>
          <w:numId w:val="0"/>
        </w:numPr>
        <w:spacing w:before="180"/>
      </w:pPr>
      <w:r w:rsidRPr="00CB0A14">
        <w:rPr>
          <w:szCs w:val="20"/>
        </w:rPr>
        <w:t>Agreement: [4]</w:t>
      </w:r>
    </w:p>
    <w:p w14:paraId="5D7E8DF7" w14:textId="77777777" w:rsidR="003508C7" w:rsidRPr="00CB0A14" w:rsidRDefault="003508C7" w:rsidP="00FF2A3C">
      <w:pPr>
        <w:numPr>
          <w:ilvl w:val="0"/>
          <w:numId w:val="61"/>
        </w:numPr>
        <w:overflowPunct/>
        <w:autoSpaceDE/>
        <w:autoSpaceDN/>
        <w:adjustRightInd/>
        <w:spacing w:after="0"/>
        <w:ind w:left="709" w:hanging="425"/>
        <w:jc w:val="both"/>
        <w:textAlignment w:val="auto"/>
        <w:rPr>
          <w:i/>
          <w:lang w:val="en-US" w:eastAsia="x-none"/>
        </w:rPr>
      </w:pPr>
      <w:r w:rsidRPr="00CB0A14">
        <w:rPr>
          <w:i/>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5B1930F1" w14:textId="77777777" w:rsidR="003508C7" w:rsidRPr="00CB0A14" w:rsidRDefault="003508C7" w:rsidP="00FF2A3C">
      <w:pPr>
        <w:numPr>
          <w:ilvl w:val="0"/>
          <w:numId w:val="61"/>
        </w:numPr>
        <w:overflowPunct/>
        <w:autoSpaceDE/>
        <w:autoSpaceDN/>
        <w:adjustRightInd/>
        <w:spacing w:after="0"/>
        <w:ind w:left="709" w:hanging="425"/>
        <w:jc w:val="both"/>
        <w:textAlignment w:val="auto"/>
        <w:rPr>
          <w:i/>
          <w:lang w:val="en-US" w:eastAsia="x-none"/>
        </w:rPr>
      </w:pPr>
      <w:r w:rsidRPr="00CB0A14">
        <w:rPr>
          <w:i/>
          <w:lang w:val="en-US" w:eastAsia="x-none"/>
        </w:rPr>
        <w:t>FFS: M and N for each supported SCS</w:t>
      </w:r>
    </w:p>
    <w:p w14:paraId="70778330" w14:textId="77777777" w:rsidR="003508C7" w:rsidRPr="00CB0A14" w:rsidRDefault="003508C7" w:rsidP="00FF2A3C">
      <w:pPr>
        <w:numPr>
          <w:ilvl w:val="0"/>
          <w:numId w:val="61"/>
        </w:numPr>
        <w:overflowPunct/>
        <w:autoSpaceDE/>
        <w:autoSpaceDN/>
        <w:adjustRightInd/>
        <w:spacing w:after="0"/>
        <w:ind w:left="709" w:hanging="425"/>
        <w:jc w:val="both"/>
        <w:textAlignment w:val="auto"/>
        <w:rPr>
          <w:i/>
          <w:lang w:val="en-US" w:eastAsia="x-none"/>
        </w:rPr>
      </w:pPr>
      <w:r w:rsidRPr="00CB0A14">
        <w:rPr>
          <w:i/>
          <w:lang w:val="en-US" w:eastAsia="x-none"/>
        </w:rPr>
        <w:t>FFS: 60 kHz in case a sub-PRB interlace is introduced</w:t>
      </w:r>
    </w:p>
    <w:p w14:paraId="329103E7" w14:textId="087B1B19" w:rsidR="003508C7" w:rsidRPr="00CB0A14" w:rsidRDefault="003508C7" w:rsidP="00FF2A3C">
      <w:pPr>
        <w:pStyle w:val="bullet"/>
        <w:numPr>
          <w:ilvl w:val="0"/>
          <w:numId w:val="0"/>
        </w:numPr>
        <w:spacing w:before="180"/>
      </w:pPr>
      <w:r w:rsidRPr="00CB0A14">
        <w:rPr>
          <w:szCs w:val="20"/>
        </w:rPr>
        <w:t>Agreement: [4]</w:t>
      </w:r>
    </w:p>
    <w:p w14:paraId="004F7BA8" w14:textId="77777777" w:rsidR="003508C7" w:rsidRPr="00CB0A14" w:rsidRDefault="003508C7" w:rsidP="00FF2A3C">
      <w:pPr>
        <w:numPr>
          <w:ilvl w:val="0"/>
          <w:numId w:val="62"/>
        </w:numPr>
        <w:overflowPunct/>
        <w:autoSpaceDE/>
        <w:autoSpaceDN/>
        <w:adjustRightInd/>
        <w:spacing w:after="0"/>
        <w:ind w:left="709"/>
        <w:jc w:val="both"/>
        <w:textAlignment w:val="auto"/>
        <w:rPr>
          <w:i/>
          <w:lang w:val="en-US" w:eastAsia="x-none"/>
        </w:rPr>
      </w:pPr>
      <w:r w:rsidRPr="00CB0A14">
        <w:rPr>
          <w:i/>
          <w:lang w:val="en-US" w:eastAsia="x-none"/>
        </w:rPr>
        <w:t>From a RAN1 perspective it has been identified that supporting a non-uniform interlace structure in which the number of PRBs per interlace is allowed to be different for different interlaces is beneficial from a spectrum utilization point of view</w:t>
      </w:r>
    </w:p>
    <w:p w14:paraId="04477B21" w14:textId="77777777" w:rsidR="003508C7" w:rsidRPr="00CB0A14" w:rsidRDefault="003508C7" w:rsidP="00FF2A3C">
      <w:pPr>
        <w:numPr>
          <w:ilvl w:val="1"/>
          <w:numId w:val="62"/>
        </w:numPr>
        <w:overflowPunct/>
        <w:autoSpaceDE/>
        <w:autoSpaceDN/>
        <w:adjustRightInd/>
        <w:spacing w:after="0"/>
        <w:ind w:left="1080"/>
        <w:jc w:val="both"/>
        <w:textAlignment w:val="auto"/>
        <w:rPr>
          <w:i/>
          <w:lang w:val="en-US" w:eastAsia="x-none"/>
        </w:rPr>
      </w:pPr>
      <w:r w:rsidRPr="00CB0A14">
        <w:rPr>
          <w:i/>
          <w:lang w:val="en-US" w:eastAsia="x-none"/>
        </w:rPr>
        <w:t>FFS: Exact number of PRBs per interlace for supported value(s) of M and N</w:t>
      </w:r>
    </w:p>
    <w:p w14:paraId="454B6314" w14:textId="77777777" w:rsidR="003508C7" w:rsidRPr="00CB0A14" w:rsidRDefault="003508C7" w:rsidP="00FF2A3C">
      <w:pPr>
        <w:numPr>
          <w:ilvl w:val="2"/>
          <w:numId w:val="62"/>
        </w:numPr>
        <w:overflowPunct/>
        <w:autoSpaceDE/>
        <w:autoSpaceDN/>
        <w:adjustRightInd/>
        <w:spacing w:after="0"/>
        <w:ind w:left="1843" w:hanging="425"/>
        <w:jc w:val="both"/>
        <w:textAlignment w:val="auto"/>
        <w:rPr>
          <w:i/>
          <w:lang w:val="en-US" w:eastAsia="x-none"/>
        </w:rPr>
      </w:pPr>
      <w:r w:rsidRPr="00CB0A14">
        <w:rPr>
          <w:i/>
          <w:lang w:val="en-US" w:eastAsia="x-none"/>
        </w:rPr>
        <w:t>Note: M is the number of interlaces and N is the nominal number of PRBs per interlace in a given bandwidth</w:t>
      </w:r>
    </w:p>
    <w:p w14:paraId="3523F1AB" w14:textId="42140597" w:rsidR="002B06DE" w:rsidRDefault="003508C7" w:rsidP="00FF2A3C">
      <w:pPr>
        <w:numPr>
          <w:ilvl w:val="1"/>
          <w:numId w:val="63"/>
        </w:numPr>
        <w:overflowPunct/>
        <w:autoSpaceDE/>
        <w:autoSpaceDN/>
        <w:adjustRightInd/>
        <w:spacing w:after="0"/>
        <w:ind w:left="1080"/>
        <w:jc w:val="both"/>
        <w:textAlignment w:val="auto"/>
        <w:rPr>
          <w:i/>
          <w:lang w:val="en-US" w:eastAsia="x-none"/>
        </w:rPr>
      </w:pPr>
      <w:r w:rsidRPr="00CB0A14">
        <w:rPr>
          <w:i/>
          <w:lang w:val="en-US" w:eastAsia="x-none"/>
        </w:rPr>
        <w:t>FFS: Whether or not there are issues in the interlace design in the resource allocation to 2^n1*3^n2*5^n3 in the case of DFT-s-OFDM</w:t>
      </w:r>
    </w:p>
    <w:p w14:paraId="152748ED" w14:textId="1F256220" w:rsidR="00921786" w:rsidRDefault="00921786" w:rsidP="00921786">
      <w:pPr>
        <w:overflowPunct/>
        <w:autoSpaceDE/>
        <w:autoSpaceDN/>
        <w:adjustRightInd/>
        <w:spacing w:after="0"/>
        <w:ind w:left="720"/>
        <w:jc w:val="both"/>
        <w:textAlignment w:val="auto"/>
        <w:rPr>
          <w:i/>
          <w:lang w:val="en-US" w:eastAsia="x-none"/>
        </w:rPr>
      </w:pPr>
    </w:p>
    <w:p w14:paraId="783217AD" w14:textId="34C32E93" w:rsidR="00921786" w:rsidRDefault="00921786" w:rsidP="00921786">
      <w:pPr>
        <w:overflowPunct/>
        <w:autoSpaceDE/>
        <w:autoSpaceDN/>
        <w:adjustRightInd/>
        <w:spacing w:after="0"/>
        <w:ind w:left="720"/>
        <w:jc w:val="both"/>
        <w:textAlignment w:val="auto"/>
        <w:rPr>
          <w:i/>
          <w:lang w:val="en-US" w:eastAsia="x-none"/>
        </w:rPr>
      </w:pPr>
    </w:p>
    <w:p w14:paraId="3EDE9871" w14:textId="7C8AF51F" w:rsidR="00921786" w:rsidRDefault="00921786" w:rsidP="00921786">
      <w:pPr>
        <w:overflowPunct/>
        <w:autoSpaceDE/>
        <w:autoSpaceDN/>
        <w:adjustRightInd/>
        <w:spacing w:after="0"/>
        <w:ind w:left="720"/>
        <w:jc w:val="both"/>
        <w:textAlignment w:val="auto"/>
        <w:rPr>
          <w:i/>
          <w:lang w:val="en-US" w:eastAsia="x-none"/>
        </w:rPr>
      </w:pPr>
    </w:p>
    <w:p w14:paraId="79EAB0CD" w14:textId="3B8DA322" w:rsidR="00921786" w:rsidRDefault="00921786" w:rsidP="00921786">
      <w:pPr>
        <w:overflowPunct/>
        <w:autoSpaceDE/>
        <w:autoSpaceDN/>
        <w:adjustRightInd/>
        <w:spacing w:after="0"/>
        <w:ind w:left="720"/>
        <w:jc w:val="both"/>
        <w:textAlignment w:val="auto"/>
        <w:rPr>
          <w:i/>
          <w:lang w:val="en-US" w:eastAsia="x-none"/>
        </w:rPr>
      </w:pPr>
    </w:p>
    <w:p w14:paraId="43B8102A" w14:textId="77777777" w:rsidR="00921786" w:rsidRPr="00CB0A14" w:rsidRDefault="00921786" w:rsidP="00921786">
      <w:pPr>
        <w:overflowPunct/>
        <w:autoSpaceDE/>
        <w:autoSpaceDN/>
        <w:adjustRightInd/>
        <w:spacing w:after="0"/>
        <w:ind w:left="720"/>
        <w:jc w:val="both"/>
        <w:textAlignment w:val="auto"/>
        <w:rPr>
          <w:i/>
          <w:lang w:val="en-US" w:eastAsia="x-none"/>
        </w:rPr>
      </w:pPr>
      <w:bookmarkStart w:id="5" w:name="_GoBack"/>
      <w:bookmarkEnd w:id="5"/>
    </w:p>
    <w:p w14:paraId="12E30482" w14:textId="0A5E2A3D" w:rsidR="000D47F3" w:rsidRDefault="000D47F3" w:rsidP="000D47F3">
      <w:pPr>
        <w:rPr>
          <w:sz w:val="18"/>
        </w:rPr>
      </w:pPr>
    </w:p>
    <w:p w14:paraId="2F8D6CC6" w14:textId="0FD0C2EF" w:rsidR="00A038FF" w:rsidRPr="00A51522" w:rsidRDefault="00A038FF" w:rsidP="00A038FF">
      <w:pPr>
        <w:pStyle w:val="Heading1"/>
      </w:pPr>
      <w:r>
        <w:t xml:space="preserve">APPENDIX 2 </w:t>
      </w:r>
    </w:p>
    <w:p w14:paraId="59871DC1" w14:textId="34ED2F38" w:rsidR="00A038FF" w:rsidRDefault="00A038FF" w:rsidP="000D47F3">
      <w:pPr>
        <w:rPr>
          <w:sz w:val="18"/>
        </w:rPr>
      </w:pPr>
      <w:r>
        <w:rPr>
          <w:sz w:val="18"/>
        </w:rPr>
        <w:t>The main simulation parameters used for res</w:t>
      </w:r>
      <w:r w:rsidR="006B6AE9">
        <w:rPr>
          <w:sz w:val="18"/>
        </w:rPr>
        <w:t xml:space="preserve">ults </w:t>
      </w:r>
      <w:r>
        <w:rPr>
          <w:sz w:val="18"/>
        </w:rPr>
        <w:t xml:space="preserve">in </w:t>
      </w:r>
      <w:r w:rsidR="006B6AE9">
        <w:rPr>
          <w:sz w:val="18"/>
        </w:rPr>
        <w:t>Figure 3 are shown in Table 4.</w:t>
      </w:r>
    </w:p>
    <w:p w14:paraId="0A3942F3" w14:textId="06DA5CEF" w:rsidR="00A14A61" w:rsidRDefault="00A14A61" w:rsidP="00921786">
      <w:pPr>
        <w:pStyle w:val="Caption"/>
        <w:jc w:val="center"/>
      </w:pPr>
      <w:r>
        <w:t>Table 4. Main simulation parameters</w:t>
      </w:r>
    </w:p>
    <w:tbl>
      <w:tblPr>
        <w:tblStyle w:val="TableGrid"/>
        <w:tblW w:w="6760" w:type="dxa"/>
        <w:tblInd w:w="1609" w:type="dxa"/>
        <w:tblLook w:val="04A0" w:firstRow="1" w:lastRow="0" w:firstColumn="1" w:lastColumn="0" w:noHBand="0" w:noVBand="1"/>
      </w:tblPr>
      <w:tblGrid>
        <w:gridCol w:w="2880"/>
        <w:gridCol w:w="3880"/>
      </w:tblGrid>
      <w:tr w:rsidR="004C40C9" w:rsidRPr="004C40C9" w14:paraId="519C181E" w14:textId="77777777" w:rsidTr="004C40C9">
        <w:trPr>
          <w:trHeight w:val="363"/>
        </w:trPr>
        <w:tc>
          <w:tcPr>
            <w:tcW w:w="2880" w:type="dxa"/>
            <w:vAlign w:val="center"/>
            <w:hideMark/>
          </w:tcPr>
          <w:p w14:paraId="52B29FCA" w14:textId="77777777" w:rsidR="004C40C9" w:rsidRPr="004C40C9" w:rsidRDefault="004C40C9" w:rsidP="004C40C9">
            <w:pPr>
              <w:rPr>
                <w:lang w:val="fi-FI"/>
              </w:rPr>
            </w:pPr>
            <w:r w:rsidRPr="004C40C9">
              <w:rPr>
                <w:b/>
                <w:bCs/>
                <w:lang w:val="en-US"/>
              </w:rPr>
              <w:t>Parameter</w:t>
            </w:r>
            <w:r w:rsidRPr="004C40C9">
              <w:rPr>
                <w:b/>
                <w:bCs/>
                <w:lang w:val="en-US"/>
              </w:rPr>
              <w:tab/>
            </w:r>
          </w:p>
        </w:tc>
        <w:tc>
          <w:tcPr>
            <w:tcW w:w="3880" w:type="dxa"/>
            <w:vAlign w:val="center"/>
            <w:hideMark/>
          </w:tcPr>
          <w:p w14:paraId="29A8F3C2" w14:textId="77777777" w:rsidR="004C40C9" w:rsidRPr="004C40C9" w:rsidRDefault="004C40C9" w:rsidP="004C40C9">
            <w:pPr>
              <w:rPr>
                <w:lang w:val="fi-FI"/>
              </w:rPr>
            </w:pPr>
            <w:r w:rsidRPr="004C40C9">
              <w:rPr>
                <w:b/>
                <w:bCs/>
                <w:lang w:val="en-US"/>
              </w:rPr>
              <w:t>Value</w:t>
            </w:r>
          </w:p>
        </w:tc>
      </w:tr>
      <w:tr w:rsidR="004C40C9" w:rsidRPr="004C40C9" w14:paraId="60DECABA" w14:textId="77777777" w:rsidTr="004C40C9">
        <w:trPr>
          <w:trHeight w:val="317"/>
        </w:trPr>
        <w:tc>
          <w:tcPr>
            <w:tcW w:w="2880" w:type="dxa"/>
            <w:vAlign w:val="center"/>
            <w:hideMark/>
          </w:tcPr>
          <w:p w14:paraId="6C560B0A" w14:textId="77777777" w:rsidR="004C40C9" w:rsidRPr="004C40C9" w:rsidRDefault="004C40C9" w:rsidP="004C40C9">
            <w:r w:rsidRPr="004C40C9">
              <w:rPr>
                <w:b/>
                <w:bCs/>
                <w:lang w:val="en-US"/>
              </w:rPr>
              <w:t>Number of TX/RX antennas</w:t>
            </w:r>
          </w:p>
        </w:tc>
        <w:tc>
          <w:tcPr>
            <w:tcW w:w="3880" w:type="dxa"/>
            <w:vAlign w:val="center"/>
            <w:hideMark/>
          </w:tcPr>
          <w:p w14:paraId="3BF27E29" w14:textId="6E8E062C" w:rsidR="004C40C9" w:rsidRPr="004C40C9" w:rsidRDefault="004C40C9" w:rsidP="004C40C9">
            <w:pPr>
              <w:rPr>
                <w:lang w:val="fi-FI"/>
              </w:rPr>
            </w:pPr>
            <w:r>
              <w:rPr>
                <w:lang w:val="en-US"/>
              </w:rPr>
              <w:t xml:space="preserve">1Tx, </w:t>
            </w:r>
            <w:r w:rsidRPr="004C40C9">
              <w:rPr>
                <w:lang w:val="en-US"/>
              </w:rPr>
              <w:t>2</w:t>
            </w:r>
            <w:r>
              <w:rPr>
                <w:lang w:val="en-US"/>
              </w:rPr>
              <w:t xml:space="preserve"> Rx</w:t>
            </w:r>
          </w:p>
        </w:tc>
      </w:tr>
      <w:tr w:rsidR="004C40C9" w:rsidRPr="004C40C9" w14:paraId="4307037E" w14:textId="77777777" w:rsidTr="004C40C9">
        <w:trPr>
          <w:trHeight w:val="271"/>
        </w:trPr>
        <w:tc>
          <w:tcPr>
            <w:tcW w:w="2880" w:type="dxa"/>
            <w:vAlign w:val="center"/>
            <w:hideMark/>
          </w:tcPr>
          <w:p w14:paraId="5E14279F" w14:textId="77777777" w:rsidR="004C40C9" w:rsidRPr="004C40C9" w:rsidRDefault="004C40C9" w:rsidP="004C40C9">
            <w:pPr>
              <w:rPr>
                <w:lang w:val="fi-FI"/>
              </w:rPr>
            </w:pPr>
            <w:r w:rsidRPr="004C40C9">
              <w:rPr>
                <w:b/>
                <w:bCs/>
                <w:lang w:val="en-US"/>
              </w:rPr>
              <w:t>Modulation</w:t>
            </w:r>
          </w:p>
        </w:tc>
        <w:tc>
          <w:tcPr>
            <w:tcW w:w="3880" w:type="dxa"/>
            <w:vAlign w:val="center"/>
            <w:hideMark/>
          </w:tcPr>
          <w:p w14:paraId="4640E7BC" w14:textId="77777777" w:rsidR="004C40C9" w:rsidRPr="004C40C9" w:rsidRDefault="004C40C9" w:rsidP="004C40C9">
            <w:pPr>
              <w:rPr>
                <w:lang w:val="fi-FI"/>
              </w:rPr>
            </w:pPr>
            <w:r w:rsidRPr="004C40C9">
              <w:rPr>
                <w:lang w:val="en-US"/>
              </w:rPr>
              <w:t>QPSK</w:t>
            </w:r>
          </w:p>
        </w:tc>
      </w:tr>
      <w:tr w:rsidR="004C40C9" w:rsidRPr="004C40C9" w14:paraId="1D950B1D" w14:textId="77777777" w:rsidTr="004C40C9">
        <w:trPr>
          <w:trHeight w:val="272"/>
        </w:trPr>
        <w:tc>
          <w:tcPr>
            <w:tcW w:w="2880" w:type="dxa"/>
            <w:vAlign w:val="center"/>
            <w:hideMark/>
          </w:tcPr>
          <w:p w14:paraId="7F1DDDB3" w14:textId="77777777" w:rsidR="004C40C9" w:rsidRPr="004C40C9" w:rsidRDefault="004C40C9" w:rsidP="004C40C9">
            <w:pPr>
              <w:rPr>
                <w:lang w:val="fi-FI"/>
              </w:rPr>
            </w:pPr>
            <w:r w:rsidRPr="004C40C9">
              <w:rPr>
                <w:b/>
                <w:bCs/>
                <w:lang w:val="en-US"/>
              </w:rPr>
              <w:t>Channel</w:t>
            </w:r>
          </w:p>
        </w:tc>
        <w:tc>
          <w:tcPr>
            <w:tcW w:w="3880" w:type="dxa"/>
            <w:vAlign w:val="center"/>
            <w:hideMark/>
          </w:tcPr>
          <w:p w14:paraId="37CF0F91" w14:textId="77777777" w:rsidR="004C40C9" w:rsidRPr="004C40C9" w:rsidRDefault="004C40C9" w:rsidP="004C40C9">
            <w:r w:rsidRPr="004C40C9">
              <w:t>CDL A 39ns (nLOS), CDL D 20ns (LOS), 3 km/h</w:t>
            </w:r>
          </w:p>
        </w:tc>
      </w:tr>
      <w:tr w:rsidR="004C40C9" w:rsidRPr="004C40C9" w14:paraId="58108AFC" w14:textId="77777777" w:rsidTr="004C40C9">
        <w:trPr>
          <w:trHeight w:val="283"/>
        </w:trPr>
        <w:tc>
          <w:tcPr>
            <w:tcW w:w="2880" w:type="dxa"/>
            <w:vAlign w:val="center"/>
            <w:hideMark/>
          </w:tcPr>
          <w:p w14:paraId="79D81E6A" w14:textId="01BBDD38" w:rsidR="004C40C9" w:rsidRPr="004C40C9" w:rsidRDefault="004C40C9" w:rsidP="004C40C9">
            <w:pPr>
              <w:rPr>
                <w:lang w:val="fi-FI"/>
              </w:rPr>
            </w:pPr>
            <w:r w:rsidRPr="004C40C9">
              <w:rPr>
                <w:b/>
                <w:bCs/>
                <w:lang w:val="fi-FI"/>
              </w:rPr>
              <w:t>PUSCH duration</w:t>
            </w:r>
          </w:p>
        </w:tc>
        <w:tc>
          <w:tcPr>
            <w:tcW w:w="3880" w:type="dxa"/>
            <w:vAlign w:val="center"/>
            <w:hideMark/>
          </w:tcPr>
          <w:p w14:paraId="7313C243" w14:textId="631DCB11" w:rsidR="004C40C9" w:rsidRPr="004C40C9" w:rsidRDefault="004C40C9" w:rsidP="004C40C9">
            <w:pPr>
              <w:rPr>
                <w:lang w:val="fi-FI"/>
              </w:rPr>
            </w:pPr>
            <w:r>
              <w:rPr>
                <w:lang w:val="fi-FI"/>
              </w:rPr>
              <w:t>14</w:t>
            </w:r>
            <w:r w:rsidRPr="004C40C9">
              <w:rPr>
                <w:lang w:val="fi-FI"/>
              </w:rPr>
              <w:t xml:space="preserve"> symbols</w:t>
            </w:r>
          </w:p>
        </w:tc>
      </w:tr>
      <w:tr w:rsidR="004C40C9" w:rsidRPr="004C40C9" w14:paraId="4286C5A5" w14:textId="77777777" w:rsidTr="004C40C9">
        <w:trPr>
          <w:trHeight w:val="298"/>
        </w:trPr>
        <w:tc>
          <w:tcPr>
            <w:tcW w:w="2880" w:type="dxa"/>
            <w:vAlign w:val="center"/>
            <w:hideMark/>
          </w:tcPr>
          <w:p w14:paraId="0DB0CF20" w14:textId="77777777" w:rsidR="004C40C9" w:rsidRPr="004C40C9" w:rsidRDefault="004C40C9" w:rsidP="004C40C9">
            <w:pPr>
              <w:rPr>
                <w:lang w:val="fi-FI"/>
              </w:rPr>
            </w:pPr>
            <w:r w:rsidRPr="004C40C9">
              <w:rPr>
                <w:b/>
                <w:bCs/>
                <w:lang w:val="fi-FI"/>
              </w:rPr>
              <w:t>Carrier frequency</w:t>
            </w:r>
          </w:p>
        </w:tc>
        <w:tc>
          <w:tcPr>
            <w:tcW w:w="3880" w:type="dxa"/>
            <w:vAlign w:val="center"/>
            <w:hideMark/>
          </w:tcPr>
          <w:p w14:paraId="5306AF7A" w14:textId="77777777" w:rsidR="004C40C9" w:rsidRPr="004C40C9" w:rsidRDefault="004C40C9" w:rsidP="004C40C9">
            <w:pPr>
              <w:rPr>
                <w:lang w:val="fi-FI"/>
              </w:rPr>
            </w:pPr>
            <w:r w:rsidRPr="004C40C9">
              <w:rPr>
                <w:lang w:val="en-US"/>
              </w:rPr>
              <w:t>5 GHz</w:t>
            </w:r>
          </w:p>
        </w:tc>
      </w:tr>
      <w:tr w:rsidR="004C40C9" w:rsidRPr="004C40C9" w14:paraId="72B6BA02" w14:textId="77777777" w:rsidTr="004C40C9">
        <w:trPr>
          <w:trHeight w:val="271"/>
        </w:trPr>
        <w:tc>
          <w:tcPr>
            <w:tcW w:w="2880" w:type="dxa"/>
            <w:vAlign w:val="center"/>
            <w:hideMark/>
          </w:tcPr>
          <w:p w14:paraId="47591B1D" w14:textId="77777777" w:rsidR="004C40C9" w:rsidRPr="004C40C9" w:rsidRDefault="004C40C9" w:rsidP="004C40C9">
            <w:pPr>
              <w:rPr>
                <w:lang w:val="fi-FI"/>
              </w:rPr>
            </w:pPr>
            <w:r w:rsidRPr="004C40C9">
              <w:rPr>
                <w:b/>
                <w:bCs/>
                <w:lang w:val="en-US"/>
              </w:rPr>
              <w:t>Channel estimation method</w:t>
            </w:r>
          </w:p>
        </w:tc>
        <w:tc>
          <w:tcPr>
            <w:tcW w:w="3880" w:type="dxa"/>
            <w:vAlign w:val="center"/>
            <w:hideMark/>
          </w:tcPr>
          <w:p w14:paraId="40720F03" w14:textId="77777777" w:rsidR="004C40C9" w:rsidRPr="004C40C9" w:rsidRDefault="004C40C9" w:rsidP="004C40C9">
            <w:pPr>
              <w:rPr>
                <w:lang w:val="fi-FI"/>
              </w:rPr>
            </w:pPr>
            <w:r w:rsidRPr="004C40C9">
              <w:rPr>
                <w:lang w:val="en-US"/>
              </w:rPr>
              <w:t>MMSE</w:t>
            </w:r>
          </w:p>
        </w:tc>
      </w:tr>
      <w:tr w:rsidR="004C40C9" w:rsidRPr="004C40C9" w14:paraId="2E510B1A" w14:textId="77777777" w:rsidTr="004C40C9">
        <w:trPr>
          <w:trHeight w:val="271"/>
        </w:trPr>
        <w:tc>
          <w:tcPr>
            <w:tcW w:w="2880" w:type="dxa"/>
            <w:vAlign w:val="center"/>
            <w:hideMark/>
          </w:tcPr>
          <w:p w14:paraId="670AC959" w14:textId="77777777" w:rsidR="004C40C9" w:rsidRPr="004C40C9" w:rsidRDefault="004C40C9" w:rsidP="004C40C9">
            <w:pPr>
              <w:rPr>
                <w:lang w:val="fi-FI"/>
              </w:rPr>
            </w:pPr>
            <w:r w:rsidRPr="004C40C9">
              <w:rPr>
                <w:b/>
                <w:bCs/>
                <w:lang w:val="en-US"/>
              </w:rPr>
              <w:t>Channel coding</w:t>
            </w:r>
          </w:p>
        </w:tc>
        <w:tc>
          <w:tcPr>
            <w:tcW w:w="3880" w:type="dxa"/>
            <w:vAlign w:val="center"/>
            <w:hideMark/>
          </w:tcPr>
          <w:p w14:paraId="23DB4775" w14:textId="77777777" w:rsidR="004C40C9" w:rsidRPr="004C40C9" w:rsidRDefault="004C40C9" w:rsidP="004C40C9">
            <w:pPr>
              <w:rPr>
                <w:lang w:val="fi-FI"/>
              </w:rPr>
            </w:pPr>
            <w:r w:rsidRPr="004C40C9">
              <w:rPr>
                <w:lang w:val="fi-FI"/>
              </w:rPr>
              <w:t>LPDC</w:t>
            </w:r>
          </w:p>
        </w:tc>
      </w:tr>
      <w:tr w:rsidR="004C40C9" w:rsidRPr="004C40C9" w14:paraId="457CB1A8" w14:textId="77777777" w:rsidTr="004C40C9">
        <w:trPr>
          <w:trHeight w:val="271"/>
        </w:trPr>
        <w:tc>
          <w:tcPr>
            <w:tcW w:w="2880" w:type="dxa"/>
            <w:vAlign w:val="center"/>
            <w:hideMark/>
          </w:tcPr>
          <w:p w14:paraId="7623B5BD" w14:textId="77777777" w:rsidR="004C40C9" w:rsidRPr="004C40C9" w:rsidRDefault="004C40C9" w:rsidP="004C40C9">
            <w:pPr>
              <w:rPr>
                <w:lang w:val="fi-FI"/>
              </w:rPr>
            </w:pPr>
            <w:r w:rsidRPr="004C40C9">
              <w:rPr>
                <w:b/>
                <w:bCs/>
                <w:lang w:val="en-US"/>
              </w:rPr>
              <w:t>Subcarrier spacing (SCS)</w:t>
            </w:r>
          </w:p>
        </w:tc>
        <w:tc>
          <w:tcPr>
            <w:tcW w:w="3880" w:type="dxa"/>
            <w:vAlign w:val="center"/>
            <w:hideMark/>
          </w:tcPr>
          <w:p w14:paraId="530016EF" w14:textId="59B6BAA4" w:rsidR="004C40C9" w:rsidRPr="004C40C9" w:rsidRDefault="004C40C9" w:rsidP="004C40C9">
            <w:pPr>
              <w:rPr>
                <w:lang w:val="fi-FI"/>
              </w:rPr>
            </w:pPr>
            <w:r w:rsidRPr="004C40C9">
              <w:rPr>
                <w:lang w:val="en-US"/>
              </w:rPr>
              <w:t>60 kHz</w:t>
            </w:r>
          </w:p>
        </w:tc>
      </w:tr>
    </w:tbl>
    <w:p w14:paraId="022BF6D3" w14:textId="77777777" w:rsidR="00A14A61" w:rsidRPr="00921786" w:rsidRDefault="00A14A61" w:rsidP="004C40C9"/>
    <w:sectPr w:rsidR="00A14A61" w:rsidRPr="00921786" w:rsidSect="00521C31">
      <w:headerReference w:type="default" r:id="rId27"/>
      <w:footerReference w:type="default" r:id="rId28"/>
      <w:footnotePr>
        <w:numRestart w:val="eachSect"/>
      </w:footnotePr>
      <w:pgSz w:w="11907" w:h="16840" w:code="9"/>
      <w:pgMar w:top="1418" w:right="992"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9BF2A0" w14:textId="77777777" w:rsidR="00D27D59" w:rsidRDefault="00D27D59">
      <w:r>
        <w:separator/>
      </w:r>
    </w:p>
  </w:endnote>
  <w:endnote w:type="continuationSeparator" w:id="0">
    <w:p w14:paraId="0CD6BDB0" w14:textId="77777777" w:rsidR="00D27D59" w:rsidRDefault="00D27D59">
      <w:r>
        <w:continuationSeparator/>
      </w:r>
    </w:p>
  </w:endnote>
  <w:endnote w:type="continuationNotice" w:id="1">
    <w:p w14:paraId="652D2CB9" w14:textId="77777777" w:rsidR="00D27D59" w:rsidRDefault="00D27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Lucida Grande">
    <w:altName w:val="Segoe UI"/>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Ericsson Capital TT">
    <w:altName w:val="Calibri"/>
    <w:charset w:val="00"/>
    <w:family w:val="auto"/>
    <w:pitch w:val="variable"/>
    <w:sig w:usb0="00000001" w:usb1="40000000" w:usb2="00000000" w:usb3="00000000" w:csb0="0000009F" w:csb1="00000000"/>
  </w:font>
  <w:font w:name="Nokia Pure Text Light">
    <w:panose1 w:val="020B0304040602060303"/>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SimSun">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FuturaA Bk BT">
    <w:altName w:val="Century Gothic"/>
    <w:charset w:val="00"/>
    <w:family w:val="swiss"/>
    <w:pitch w:val="variable"/>
    <w:sig w:usb0="00000001" w:usb1="00000000" w:usb2="00000000" w:usb3="00000000" w:csb0="0000001B"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0FC21" w14:textId="77777777" w:rsidR="00D27D59" w:rsidRDefault="00D27D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9C363C" w14:textId="77777777" w:rsidR="00D27D59" w:rsidRDefault="00D27D59">
      <w:r>
        <w:separator/>
      </w:r>
    </w:p>
  </w:footnote>
  <w:footnote w:type="continuationSeparator" w:id="0">
    <w:p w14:paraId="2E3933D2" w14:textId="77777777" w:rsidR="00D27D59" w:rsidRDefault="00D27D59">
      <w:r>
        <w:continuationSeparator/>
      </w:r>
    </w:p>
  </w:footnote>
  <w:footnote w:type="continuationNotice" w:id="1">
    <w:p w14:paraId="1F358C31" w14:textId="77777777" w:rsidR="00D27D59" w:rsidRDefault="00D27D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E41F38" w14:textId="77777777" w:rsidR="00D27D59" w:rsidRDefault="00D27D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46AAD"/>
    <w:multiLevelType w:val="hybridMultilevel"/>
    <w:tmpl w:val="8E04AD54"/>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2" w15:restartNumberingAfterBreak="0">
    <w:nsid w:val="06010598"/>
    <w:multiLevelType w:val="multilevel"/>
    <w:tmpl w:val="060105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66C1289"/>
    <w:multiLevelType w:val="hybridMultilevel"/>
    <w:tmpl w:val="A142CB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73A59C9"/>
    <w:multiLevelType w:val="hybridMultilevel"/>
    <w:tmpl w:val="A00C9A4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9D01C33"/>
    <w:multiLevelType w:val="hybridMultilevel"/>
    <w:tmpl w:val="1BB42E0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DE097C"/>
    <w:multiLevelType w:val="multilevel"/>
    <w:tmpl w:val="040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1726C75"/>
    <w:multiLevelType w:val="multilevel"/>
    <w:tmpl w:val="040B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1AF1A62"/>
    <w:multiLevelType w:val="hybridMultilevel"/>
    <w:tmpl w:val="D3ECAB4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2FD397F"/>
    <w:multiLevelType w:val="hybridMultilevel"/>
    <w:tmpl w:val="F788D20A"/>
    <w:lvl w:ilvl="0" w:tplc="EA2675C2">
      <w:start w:val="7"/>
      <w:numFmt w:val="bullet"/>
      <w:lvlText w:val="-"/>
      <w:lvlJc w:val="left"/>
      <w:pPr>
        <w:ind w:left="720" w:hanging="360"/>
      </w:pPr>
      <w:rPr>
        <w:rFonts w:ascii="Times New Roman" w:eastAsia="SimSu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A41E72"/>
    <w:multiLevelType w:val="hybridMultilevel"/>
    <w:tmpl w:val="69B0DB9C"/>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1C134C6C"/>
    <w:multiLevelType w:val="hybridMultilevel"/>
    <w:tmpl w:val="45DC94D4"/>
    <w:lvl w:ilvl="0" w:tplc="1D801E2C">
      <w:start w:val="1"/>
      <w:numFmt w:val="bullet"/>
      <w:lvlText w:val="-"/>
      <w:lvlJc w:val="left"/>
      <w:pPr>
        <w:tabs>
          <w:tab w:val="num" w:pos="720"/>
        </w:tabs>
        <w:ind w:left="720" w:hanging="360"/>
      </w:pPr>
      <w:rPr>
        <w:rFonts w:ascii="Lucida Grande" w:hAnsi="Lucida Grande" w:hint="default"/>
      </w:rPr>
    </w:lvl>
    <w:lvl w:ilvl="1" w:tplc="BF443140">
      <w:start w:val="1"/>
      <w:numFmt w:val="bullet"/>
      <w:lvlText w:val="-"/>
      <w:lvlJc w:val="left"/>
      <w:pPr>
        <w:tabs>
          <w:tab w:val="num" w:pos="1440"/>
        </w:tabs>
        <w:ind w:left="1440" w:hanging="360"/>
      </w:pPr>
      <w:rPr>
        <w:rFonts w:ascii="Lucida Grande" w:hAnsi="Lucida Grande" w:hint="default"/>
      </w:rPr>
    </w:lvl>
    <w:lvl w:ilvl="2" w:tplc="C1962028" w:tentative="1">
      <w:start w:val="1"/>
      <w:numFmt w:val="bullet"/>
      <w:lvlText w:val="-"/>
      <w:lvlJc w:val="left"/>
      <w:pPr>
        <w:tabs>
          <w:tab w:val="num" w:pos="2160"/>
        </w:tabs>
        <w:ind w:left="2160" w:hanging="360"/>
      </w:pPr>
      <w:rPr>
        <w:rFonts w:ascii="Lucida Grande" w:hAnsi="Lucida Grande" w:hint="default"/>
      </w:rPr>
    </w:lvl>
    <w:lvl w:ilvl="3" w:tplc="08F60476" w:tentative="1">
      <w:start w:val="1"/>
      <w:numFmt w:val="bullet"/>
      <w:lvlText w:val="-"/>
      <w:lvlJc w:val="left"/>
      <w:pPr>
        <w:tabs>
          <w:tab w:val="num" w:pos="2880"/>
        </w:tabs>
        <w:ind w:left="2880" w:hanging="360"/>
      </w:pPr>
      <w:rPr>
        <w:rFonts w:ascii="Lucida Grande" w:hAnsi="Lucida Grande" w:hint="default"/>
      </w:rPr>
    </w:lvl>
    <w:lvl w:ilvl="4" w:tplc="716E1A80" w:tentative="1">
      <w:start w:val="1"/>
      <w:numFmt w:val="bullet"/>
      <w:lvlText w:val="-"/>
      <w:lvlJc w:val="left"/>
      <w:pPr>
        <w:tabs>
          <w:tab w:val="num" w:pos="3600"/>
        </w:tabs>
        <w:ind w:left="3600" w:hanging="360"/>
      </w:pPr>
      <w:rPr>
        <w:rFonts w:ascii="Lucida Grande" w:hAnsi="Lucida Grande" w:hint="default"/>
      </w:rPr>
    </w:lvl>
    <w:lvl w:ilvl="5" w:tplc="170213E2" w:tentative="1">
      <w:start w:val="1"/>
      <w:numFmt w:val="bullet"/>
      <w:lvlText w:val="-"/>
      <w:lvlJc w:val="left"/>
      <w:pPr>
        <w:tabs>
          <w:tab w:val="num" w:pos="4320"/>
        </w:tabs>
        <w:ind w:left="4320" w:hanging="360"/>
      </w:pPr>
      <w:rPr>
        <w:rFonts w:ascii="Lucida Grande" w:hAnsi="Lucida Grande" w:hint="default"/>
      </w:rPr>
    </w:lvl>
    <w:lvl w:ilvl="6" w:tplc="4B185CC2" w:tentative="1">
      <w:start w:val="1"/>
      <w:numFmt w:val="bullet"/>
      <w:lvlText w:val="-"/>
      <w:lvlJc w:val="left"/>
      <w:pPr>
        <w:tabs>
          <w:tab w:val="num" w:pos="5040"/>
        </w:tabs>
        <w:ind w:left="5040" w:hanging="360"/>
      </w:pPr>
      <w:rPr>
        <w:rFonts w:ascii="Lucida Grande" w:hAnsi="Lucida Grande" w:hint="default"/>
      </w:rPr>
    </w:lvl>
    <w:lvl w:ilvl="7" w:tplc="18FE4CCC" w:tentative="1">
      <w:start w:val="1"/>
      <w:numFmt w:val="bullet"/>
      <w:lvlText w:val="-"/>
      <w:lvlJc w:val="left"/>
      <w:pPr>
        <w:tabs>
          <w:tab w:val="num" w:pos="5760"/>
        </w:tabs>
        <w:ind w:left="5760" w:hanging="360"/>
      </w:pPr>
      <w:rPr>
        <w:rFonts w:ascii="Lucida Grande" w:hAnsi="Lucida Grande" w:hint="default"/>
      </w:rPr>
    </w:lvl>
    <w:lvl w:ilvl="8" w:tplc="A7C84736" w:tentative="1">
      <w:start w:val="1"/>
      <w:numFmt w:val="bullet"/>
      <w:lvlText w:val="-"/>
      <w:lvlJc w:val="left"/>
      <w:pPr>
        <w:tabs>
          <w:tab w:val="num" w:pos="6480"/>
        </w:tabs>
        <w:ind w:left="6480" w:hanging="360"/>
      </w:pPr>
      <w:rPr>
        <w:rFonts w:ascii="Lucida Grande" w:hAnsi="Lucida Grande" w:hint="default"/>
      </w:rPr>
    </w:lvl>
  </w:abstractNum>
  <w:abstractNum w:abstractNumId="14" w15:restartNumberingAfterBreak="0">
    <w:nsid w:val="1C4A0C1D"/>
    <w:multiLevelType w:val="hybridMultilevel"/>
    <w:tmpl w:val="75D6288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5"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8529D"/>
    <w:multiLevelType w:val="hybridMultilevel"/>
    <w:tmpl w:val="7E420D0E"/>
    <w:lvl w:ilvl="0" w:tplc="040B0001">
      <w:start w:val="1"/>
      <w:numFmt w:val="bullet"/>
      <w:lvlText w:val=""/>
      <w:lvlJc w:val="left"/>
      <w:pPr>
        <w:ind w:left="1004"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17" w15:restartNumberingAfterBreak="0">
    <w:nsid w:val="22C75A2B"/>
    <w:multiLevelType w:val="hybridMultilevel"/>
    <w:tmpl w:val="ED5C96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7B75D3A"/>
    <w:multiLevelType w:val="hybridMultilevel"/>
    <w:tmpl w:val="9BF4665E"/>
    <w:lvl w:ilvl="0" w:tplc="B554E72A">
      <w:start w:val="1"/>
      <w:numFmt w:val="bullet"/>
      <w:lvlText w:val="•"/>
      <w:lvlJc w:val="left"/>
      <w:pPr>
        <w:tabs>
          <w:tab w:val="num" w:pos="720"/>
        </w:tabs>
        <w:ind w:left="720" w:hanging="360"/>
      </w:pPr>
      <w:rPr>
        <w:rFonts w:ascii="Arial" w:hAnsi="Arial" w:hint="default"/>
      </w:rPr>
    </w:lvl>
    <w:lvl w:ilvl="1" w:tplc="B4DAA518">
      <w:start w:val="1"/>
      <w:numFmt w:val="bullet"/>
      <w:lvlText w:val="•"/>
      <w:lvlJc w:val="left"/>
      <w:pPr>
        <w:tabs>
          <w:tab w:val="num" w:pos="1440"/>
        </w:tabs>
        <w:ind w:left="1440" w:hanging="360"/>
      </w:pPr>
      <w:rPr>
        <w:rFonts w:ascii="Arial" w:hAnsi="Arial" w:hint="default"/>
      </w:rPr>
    </w:lvl>
    <w:lvl w:ilvl="2" w:tplc="F554410A" w:tentative="1">
      <w:start w:val="1"/>
      <w:numFmt w:val="bullet"/>
      <w:lvlText w:val="•"/>
      <w:lvlJc w:val="left"/>
      <w:pPr>
        <w:tabs>
          <w:tab w:val="num" w:pos="2160"/>
        </w:tabs>
        <w:ind w:left="2160" w:hanging="360"/>
      </w:pPr>
      <w:rPr>
        <w:rFonts w:ascii="Arial" w:hAnsi="Arial" w:hint="default"/>
      </w:rPr>
    </w:lvl>
    <w:lvl w:ilvl="3" w:tplc="7CE25E5A" w:tentative="1">
      <w:start w:val="1"/>
      <w:numFmt w:val="bullet"/>
      <w:lvlText w:val="•"/>
      <w:lvlJc w:val="left"/>
      <w:pPr>
        <w:tabs>
          <w:tab w:val="num" w:pos="2880"/>
        </w:tabs>
        <w:ind w:left="2880" w:hanging="360"/>
      </w:pPr>
      <w:rPr>
        <w:rFonts w:ascii="Arial" w:hAnsi="Arial" w:hint="default"/>
      </w:rPr>
    </w:lvl>
    <w:lvl w:ilvl="4" w:tplc="23363FE0" w:tentative="1">
      <w:start w:val="1"/>
      <w:numFmt w:val="bullet"/>
      <w:lvlText w:val="•"/>
      <w:lvlJc w:val="left"/>
      <w:pPr>
        <w:tabs>
          <w:tab w:val="num" w:pos="3600"/>
        </w:tabs>
        <w:ind w:left="3600" w:hanging="360"/>
      </w:pPr>
      <w:rPr>
        <w:rFonts w:ascii="Arial" w:hAnsi="Arial" w:hint="default"/>
      </w:rPr>
    </w:lvl>
    <w:lvl w:ilvl="5" w:tplc="CB343438" w:tentative="1">
      <w:start w:val="1"/>
      <w:numFmt w:val="bullet"/>
      <w:lvlText w:val="•"/>
      <w:lvlJc w:val="left"/>
      <w:pPr>
        <w:tabs>
          <w:tab w:val="num" w:pos="4320"/>
        </w:tabs>
        <w:ind w:left="4320" w:hanging="360"/>
      </w:pPr>
      <w:rPr>
        <w:rFonts w:ascii="Arial" w:hAnsi="Arial" w:hint="default"/>
      </w:rPr>
    </w:lvl>
    <w:lvl w:ilvl="6" w:tplc="BC1C11BC" w:tentative="1">
      <w:start w:val="1"/>
      <w:numFmt w:val="bullet"/>
      <w:lvlText w:val="•"/>
      <w:lvlJc w:val="left"/>
      <w:pPr>
        <w:tabs>
          <w:tab w:val="num" w:pos="5040"/>
        </w:tabs>
        <w:ind w:left="5040" w:hanging="360"/>
      </w:pPr>
      <w:rPr>
        <w:rFonts w:ascii="Arial" w:hAnsi="Arial" w:hint="default"/>
      </w:rPr>
    </w:lvl>
    <w:lvl w:ilvl="7" w:tplc="DA86DA0C" w:tentative="1">
      <w:start w:val="1"/>
      <w:numFmt w:val="bullet"/>
      <w:lvlText w:val="•"/>
      <w:lvlJc w:val="left"/>
      <w:pPr>
        <w:tabs>
          <w:tab w:val="num" w:pos="5760"/>
        </w:tabs>
        <w:ind w:left="5760" w:hanging="360"/>
      </w:pPr>
      <w:rPr>
        <w:rFonts w:ascii="Arial" w:hAnsi="Arial" w:hint="default"/>
      </w:rPr>
    </w:lvl>
    <w:lvl w:ilvl="8" w:tplc="C1E6474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8032D67"/>
    <w:multiLevelType w:val="hybridMultilevel"/>
    <w:tmpl w:val="70F6E752"/>
    <w:lvl w:ilvl="0" w:tplc="27961770">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286F559C"/>
    <w:multiLevelType w:val="hybridMultilevel"/>
    <w:tmpl w:val="761EF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9BB2282"/>
    <w:multiLevelType w:val="hybridMultilevel"/>
    <w:tmpl w:val="8460E974"/>
    <w:lvl w:ilvl="0" w:tplc="9F7844FC">
      <w:start w:val="1"/>
      <w:numFmt w:val="bullet"/>
      <w:lvlText w:val="-"/>
      <w:lvlJc w:val="left"/>
      <w:pPr>
        <w:ind w:left="720" w:hanging="360"/>
      </w:pPr>
      <w:rPr>
        <w:rFonts w:ascii="Times New Roman" w:eastAsia="SimSun" w:hAnsi="Times New Roman" w:cs="Times New Roman" w:hint="default"/>
        <w:sz w:val="20"/>
        <w:szCs w:val="2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9F25DE9"/>
    <w:multiLevelType w:val="hybridMultilevel"/>
    <w:tmpl w:val="E026ABA4"/>
    <w:lvl w:ilvl="0" w:tplc="040B0001">
      <w:start w:val="1"/>
      <w:numFmt w:val="bullet"/>
      <w:lvlText w:val=""/>
      <w:lvlJc w:val="left"/>
      <w:pPr>
        <w:ind w:left="928" w:hanging="360"/>
      </w:pPr>
      <w:rPr>
        <w:rFonts w:ascii="Symbol" w:hAnsi="Symbol" w:hint="default"/>
      </w:rPr>
    </w:lvl>
    <w:lvl w:ilvl="1" w:tplc="040B0003" w:tentative="1">
      <w:start w:val="1"/>
      <w:numFmt w:val="bullet"/>
      <w:lvlText w:val="o"/>
      <w:lvlJc w:val="left"/>
      <w:pPr>
        <w:ind w:left="1648" w:hanging="360"/>
      </w:pPr>
      <w:rPr>
        <w:rFonts w:ascii="Courier New" w:hAnsi="Courier New" w:cs="Courier New" w:hint="default"/>
      </w:rPr>
    </w:lvl>
    <w:lvl w:ilvl="2" w:tplc="040B0005" w:tentative="1">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1C2DDF"/>
    <w:multiLevelType w:val="hybridMultilevel"/>
    <w:tmpl w:val="DE8644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2F5C1FE8"/>
    <w:multiLevelType w:val="hybridMultilevel"/>
    <w:tmpl w:val="75C214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2FD36951"/>
    <w:multiLevelType w:val="hybridMultilevel"/>
    <w:tmpl w:val="4F9A2CDA"/>
    <w:lvl w:ilvl="0" w:tplc="1902CA04">
      <w:start w:val="1"/>
      <w:numFmt w:val="bullet"/>
      <w:lvlText w:val="•"/>
      <w:lvlJc w:val="left"/>
      <w:pPr>
        <w:tabs>
          <w:tab w:val="num" w:pos="360"/>
        </w:tabs>
        <w:ind w:left="360" w:hanging="360"/>
      </w:pPr>
      <w:rPr>
        <w:rFonts w:ascii="Arial" w:hAnsi="Arial" w:hint="default"/>
      </w:rPr>
    </w:lvl>
    <w:lvl w:ilvl="1" w:tplc="8424FF42">
      <w:start w:val="1"/>
      <w:numFmt w:val="bullet"/>
      <w:lvlText w:val="•"/>
      <w:lvlJc w:val="left"/>
      <w:pPr>
        <w:tabs>
          <w:tab w:val="num" w:pos="1080"/>
        </w:tabs>
        <w:ind w:left="1080" w:hanging="360"/>
      </w:pPr>
      <w:rPr>
        <w:rFonts w:ascii="Arial" w:hAnsi="Arial" w:hint="default"/>
      </w:rPr>
    </w:lvl>
    <w:lvl w:ilvl="2" w:tplc="410840BE">
      <w:start w:val="1"/>
      <w:numFmt w:val="bullet"/>
      <w:lvlText w:val="•"/>
      <w:lvlJc w:val="left"/>
      <w:pPr>
        <w:tabs>
          <w:tab w:val="num" w:pos="1800"/>
        </w:tabs>
        <w:ind w:left="1800" w:hanging="360"/>
      </w:pPr>
      <w:rPr>
        <w:rFonts w:ascii="Arial" w:hAnsi="Arial" w:hint="default"/>
      </w:rPr>
    </w:lvl>
    <w:lvl w:ilvl="3" w:tplc="43F20490">
      <w:start w:val="1"/>
      <w:numFmt w:val="bullet"/>
      <w:lvlText w:val="•"/>
      <w:lvlJc w:val="left"/>
      <w:pPr>
        <w:tabs>
          <w:tab w:val="num" w:pos="2520"/>
        </w:tabs>
        <w:ind w:left="2520" w:hanging="360"/>
      </w:pPr>
      <w:rPr>
        <w:rFonts w:ascii="Arial" w:hAnsi="Arial" w:hint="default"/>
      </w:rPr>
    </w:lvl>
    <w:lvl w:ilvl="4" w:tplc="8712228A" w:tentative="1">
      <w:start w:val="1"/>
      <w:numFmt w:val="bullet"/>
      <w:lvlText w:val="•"/>
      <w:lvlJc w:val="left"/>
      <w:pPr>
        <w:tabs>
          <w:tab w:val="num" w:pos="3240"/>
        </w:tabs>
        <w:ind w:left="3240" w:hanging="360"/>
      </w:pPr>
      <w:rPr>
        <w:rFonts w:ascii="Arial" w:hAnsi="Arial" w:hint="default"/>
      </w:rPr>
    </w:lvl>
    <w:lvl w:ilvl="5" w:tplc="4BC40DB8" w:tentative="1">
      <w:start w:val="1"/>
      <w:numFmt w:val="bullet"/>
      <w:lvlText w:val="•"/>
      <w:lvlJc w:val="left"/>
      <w:pPr>
        <w:tabs>
          <w:tab w:val="num" w:pos="3960"/>
        </w:tabs>
        <w:ind w:left="3960" w:hanging="360"/>
      </w:pPr>
      <w:rPr>
        <w:rFonts w:ascii="Arial" w:hAnsi="Arial" w:hint="default"/>
      </w:rPr>
    </w:lvl>
    <w:lvl w:ilvl="6" w:tplc="B39AC682" w:tentative="1">
      <w:start w:val="1"/>
      <w:numFmt w:val="bullet"/>
      <w:lvlText w:val="•"/>
      <w:lvlJc w:val="left"/>
      <w:pPr>
        <w:tabs>
          <w:tab w:val="num" w:pos="4680"/>
        </w:tabs>
        <w:ind w:left="4680" w:hanging="360"/>
      </w:pPr>
      <w:rPr>
        <w:rFonts w:ascii="Arial" w:hAnsi="Arial" w:hint="default"/>
      </w:rPr>
    </w:lvl>
    <w:lvl w:ilvl="7" w:tplc="EF6EFF84" w:tentative="1">
      <w:start w:val="1"/>
      <w:numFmt w:val="bullet"/>
      <w:lvlText w:val="•"/>
      <w:lvlJc w:val="left"/>
      <w:pPr>
        <w:tabs>
          <w:tab w:val="num" w:pos="5400"/>
        </w:tabs>
        <w:ind w:left="5400" w:hanging="360"/>
      </w:pPr>
      <w:rPr>
        <w:rFonts w:ascii="Arial" w:hAnsi="Arial" w:hint="default"/>
      </w:rPr>
    </w:lvl>
    <w:lvl w:ilvl="8" w:tplc="127456E4"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10E2633"/>
    <w:multiLevelType w:val="hybridMultilevel"/>
    <w:tmpl w:val="1BF288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3242469B"/>
    <w:multiLevelType w:val="hybridMultilevel"/>
    <w:tmpl w:val="D5C0E10E"/>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29"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6743CC"/>
    <w:multiLevelType w:val="hybridMultilevel"/>
    <w:tmpl w:val="78249C90"/>
    <w:lvl w:ilvl="0" w:tplc="ABD22A42">
      <w:start w:val="1"/>
      <w:numFmt w:val="bullet"/>
      <w:lvlText w:val="•"/>
      <w:lvlJc w:val="left"/>
      <w:pPr>
        <w:tabs>
          <w:tab w:val="num" w:pos="720"/>
        </w:tabs>
        <w:ind w:left="720" w:hanging="360"/>
      </w:pPr>
      <w:rPr>
        <w:rFonts w:ascii="Arial" w:hAnsi="Arial" w:hint="default"/>
      </w:rPr>
    </w:lvl>
    <w:lvl w:ilvl="1" w:tplc="A8626000" w:tentative="1">
      <w:start w:val="1"/>
      <w:numFmt w:val="bullet"/>
      <w:lvlText w:val="•"/>
      <w:lvlJc w:val="left"/>
      <w:pPr>
        <w:tabs>
          <w:tab w:val="num" w:pos="1440"/>
        </w:tabs>
        <w:ind w:left="1440" w:hanging="360"/>
      </w:pPr>
      <w:rPr>
        <w:rFonts w:ascii="Arial" w:hAnsi="Arial" w:hint="default"/>
      </w:rPr>
    </w:lvl>
    <w:lvl w:ilvl="2" w:tplc="7F3A6532" w:tentative="1">
      <w:start w:val="1"/>
      <w:numFmt w:val="bullet"/>
      <w:lvlText w:val="•"/>
      <w:lvlJc w:val="left"/>
      <w:pPr>
        <w:tabs>
          <w:tab w:val="num" w:pos="2160"/>
        </w:tabs>
        <w:ind w:left="2160" w:hanging="360"/>
      </w:pPr>
      <w:rPr>
        <w:rFonts w:ascii="Arial" w:hAnsi="Arial" w:hint="default"/>
      </w:rPr>
    </w:lvl>
    <w:lvl w:ilvl="3" w:tplc="8792838A" w:tentative="1">
      <w:start w:val="1"/>
      <w:numFmt w:val="bullet"/>
      <w:lvlText w:val="•"/>
      <w:lvlJc w:val="left"/>
      <w:pPr>
        <w:tabs>
          <w:tab w:val="num" w:pos="2880"/>
        </w:tabs>
        <w:ind w:left="2880" w:hanging="360"/>
      </w:pPr>
      <w:rPr>
        <w:rFonts w:ascii="Arial" w:hAnsi="Arial" w:hint="default"/>
      </w:rPr>
    </w:lvl>
    <w:lvl w:ilvl="4" w:tplc="D764B1A0" w:tentative="1">
      <w:start w:val="1"/>
      <w:numFmt w:val="bullet"/>
      <w:lvlText w:val="•"/>
      <w:lvlJc w:val="left"/>
      <w:pPr>
        <w:tabs>
          <w:tab w:val="num" w:pos="3600"/>
        </w:tabs>
        <w:ind w:left="3600" w:hanging="360"/>
      </w:pPr>
      <w:rPr>
        <w:rFonts w:ascii="Arial" w:hAnsi="Arial" w:hint="default"/>
      </w:rPr>
    </w:lvl>
    <w:lvl w:ilvl="5" w:tplc="C1BC0070" w:tentative="1">
      <w:start w:val="1"/>
      <w:numFmt w:val="bullet"/>
      <w:lvlText w:val="•"/>
      <w:lvlJc w:val="left"/>
      <w:pPr>
        <w:tabs>
          <w:tab w:val="num" w:pos="4320"/>
        </w:tabs>
        <w:ind w:left="4320" w:hanging="360"/>
      </w:pPr>
      <w:rPr>
        <w:rFonts w:ascii="Arial" w:hAnsi="Arial" w:hint="default"/>
      </w:rPr>
    </w:lvl>
    <w:lvl w:ilvl="6" w:tplc="21DC3928" w:tentative="1">
      <w:start w:val="1"/>
      <w:numFmt w:val="bullet"/>
      <w:lvlText w:val="•"/>
      <w:lvlJc w:val="left"/>
      <w:pPr>
        <w:tabs>
          <w:tab w:val="num" w:pos="5040"/>
        </w:tabs>
        <w:ind w:left="5040" w:hanging="360"/>
      </w:pPr>
      <w:rPr>
        <w:rFonts w:ascii="Arial" w:hAnsi="Arial" w:hint="default"/>
      </w:rPr>
    </w:lvl>
    <w:lvl w:ilvl="7" w:tplc="3A5423E6" w:tentative="1">
      <w:start w:val="1"/>
      <w:numFmt w:val="bullet"/>
      <w:lvlText w:val="•"/>
      <w:lvlJc w:val="left"/>
      <w:pPr>
        <w:tabs>
          <w:tab w:val="num" w:pos="5760"/>
        </w:tabs>
        <w:ind w:left="5760" w:hanging="360"/>
      </w:pPr>
      <w:rPr>
        <w:rFonts w:ascii="Arial" w:hAnsi="Arial" w:hint="default"/>
      </w:rPr>
    </w:lvl>
    <w:lvl w:ilvl="8" w:tplc="B3AC39F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4572B6C"/>
    <w:multiLevelType w:val="hybridMultilevel"/>
    <w:tmpl w:val="11483E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35BA6C11"/>
    <w:multiLevelType w:val="hybridMultilevel"/>
    <w:tmpl w:val="395836A4"/>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3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4" w15:restartNumberingAfterBreak="0">
    <w:nsid w:val="362909E2"/>
    <w:multiLevelType w:val="hybridMultilevel"/>
    <w:tmpl w:val="C53069E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9A06E5E"/>
    <w:multiLevelType w:val="hybridMultilevel"/>
    <w:tmpl w:val="293C316C"/>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37" w15:restartNumberingAfterBreak="0">
    <w:nsid w:val="3A272E5B"/>
    <w:multiLevelType w:val="hybridMultilevel"/>
    <w:tmpl w:val="1B6C816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3BFB4F8F"/>
    <w:multiLevelType w:val="hybridMultilevel"/>
    <w:tmpl w:val="8E468BC6"/>
    <w:lvl w:ilvl="0" w:tplc="530EC99A">
      <w:start w:val="4"/>
      <w:numFmt w:val="bullet"/>
      <w:lvlText w:val="-"/>
      <w:lvlJc w:val="left"/>
      <w:pPr>
        <w:ind w:left="720" w:hanging="360"/>
      </w:pPr>
      <w:rPr>
        <w:rFonts w:ascii="Times New Roman" w:eastAsia="SimSu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3C0C487E"/>
    <w:multiLevelType w:val="hybridMultilevel"/>
    <w:tmpl w:val="AFE80078"/>
    <w:lvl w:ilvl="0" w:tplc="040B0001">
      <w:start w:val="1"/>
      <w:numFmt w:val="bullet"/>
      <w:lvlText w:val=""/>
      <w:lvlJc w:val="left"/>
      <w:pPr>
        <w:ind w:left="928"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41494DAA"/>
    <w:multiLevelType w:val="hybridMultilevel"/>
    <w:tmpl w:val="7BA83A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432074B5"/>
    <w:multiLevelType w:val="hybridMultilevel"/>
    <w:tmpl w:val="390A96FC"/>
    <w:lvl w:ilvl="0" w:tplc="C3C62196">
      <w:start w:val="1"/>
      <w:numFmt w:val="bullet"/>
      <w:lvlText w:val="-"/>
      <w:lvlJc w:val="left"/>
      <w:pPr>
        <w:tabs>
          <w:tab w:val="num" w:pos="720"/>
        </w:tabs>
        <w:ind w:left="720" w:hanging="360"/>
      </w:pPr>
      <w:rPr>
        <w:rFonts w:ascii="Lucida Grande" w:hAnsi="Lucida Grande" w:hint="default"/>
      </w:rPr>
    </w:lvl>
    <w:lvl w:ilvl="1" w:tplc="C3A409E6">
      <w:start w:val="1"/>
      <w:numFmt w:val="bullet"/>
      <w:lvlText w:val="-"/>
      <w:lvlJc w:val="left"/>
      <w:pPr>
        <w:tabs>
          <w:tab w:val="num" w:pos="1440"/>
        </w:tabs>
        <w:ind w:left="1440" w:hanging="360"/>
      </w:pPr>
      <w:rPr>
        <w:rFonts w:ascii="Lucida Grande" w:hAnsi="Lucida Grande" w:hint="default"/>
      </w:rPr>
    </w:lvl>
    <w:lvl w:ilvl="2" w:tplc="0E702A7E">
      <w:start w:val="189"/>
      <w:numFmt w:val="bullet"/>
      <w:lvlText w:val="•"/>
      <w:lvlJc w:val="left"/>
      <w:pPr>
        <w:tabs>
          <w:tab w:val="num" w:pos="2160"/>
        </w:tabs>
        <w:ind w:left="2160" w:hanging="360"/>
      </w:pPr>
      <w:rPr>
        <w:rFonts w:ascii="Arial" w:hAnsi="Arial" w:hint="default"/>
      </w:rPr>
    </w:lvl>
    <w:lvl w:ilvl="3" w:tplc="AF0AC5EE" w:tentative="1">
      <w:start w:val="1"/>
      <w:numFmt w:val="bullet"/>
      <w:lvlText w:val="-"/>
      <w:lvlJc w:val="left"/>
      <w:pPr>
        <w:tabs>
          <w:tab w:val="num" w:pos="2880"/>
        </w:tabs>
        <w:ind w:left="2880" w:hanging="360"/>
      </w:pPr>
      <w:rPr>
        <w:rFonts w:ascii="Lucida Grande" w:hAnsi="Lucida Grande" w:hint="default"/>
      </w:rPr>
    </w:lvl>
    <w:lvl w:ilvl="4" w:tplc="C5AE3232" w:tentative="1">
      <w:start w:val="1"/>
      <w:numFmt w:val="bullet"/>
      <w:lvlText w:val="-"/>
      <w:lvlJc w:val="left"/>
      <w:pPr>
        <w:tabs>
          <w:tab w:val="num" w:pos="3600"/>
        </w:tabs>
        <w:ind w:left="3600" w:hanging="360"/>
      </w:pPr>
      <w:rPr>
        <w:rFonts w:ascii="Lucida Grande" w:hAnsi="Lucida Grande" w:hint="default"/>
      </w:rPr>
    </w:lvl>
    <w:lvl w:ilvl="5" w:tplc="28A0DC2E" w:tentative="1">
      <w:start w:val="1"/>
      <w:numFmt w:val="bullet"/>
      <w:lvlText w:val="-"/>
      <w:lvlJc w:val="left"/>
      <w:pPr>
        <w:tabs>
          <w:tab w:val="num" w:pos="4320"/>
        </w:tabs>
        <w:ind w:left="4320" w:hanging="360"/>
      </w:pPr>
      <w:rPr>
        <w:rFonts w:ascii="Lucida Grande" w:hAnsi="Lucida Grande" w:hint="default"/>
      </w:rPr>
    </w:lvl>
    <w:lvl w:ilvl="6" w:tplc="85D23708" w:tentative="1">
      <w:start w:val="1"/>
      <w:numFmt w:val="bullet"/>
      <w:lvlText w:val="-"/>
      <w:lvlJc w:val="left"/>
      <w:pPr>
        <w:tabs>
          <w:tab w:val="num" w:pos="5040"/>
        </w:tabs>
        <w:ind w:left="5040" w:hanging="360"/>
      </w:pPr>
      <w:rPr>
        <w:rFonts w:ascii="Lucida Grande" w:hAnsi="Lucida Grande" w:hint="default"/>
      </w:rPr>
    </w:lvl>
    <w:lvl w:ilvl="7" w:tplc="88E64EC0" w:tentative="1">
      <w:start w:val="1"/>
      <w:numFmt w:val="bullet"/>
      <w:lvlText w:val="-"/>
      <w:lvlJc w:val="left"/>
      <w:pPr>
        <w:tabs>
          <w:tab w:val="num" w:pos="5760"/>
        </w:tabs>
        <w:ind w:left="5760" w:hanging="360"/>
      </w:pPr>
      <w:rPr>
        <w:rFonts w:ascii="Lucida Grande" w:hAnsi="Lucida Grande" w:hint="default"/>
      </w:rPr>
    </w:lvl>
    <w:lvl w:ilvl="8" w:tplc="B5DAF20A" w:tentative="1">
      <w:start w:val="1"/>
      <w:numFmt w:val="bullet"/>
      <w:lvlText w:val="-"/>
      <w:lvlJc w:val="left"/>
      <w:pPr>
        <w:tabs>
          <w:tab w:val="num" w:pos="6480"/>
        </w:tabs>
        <w:ind w:left="6480" w:hanging="360"/>
      </w:pPr>
      <w:rPr>
        <w:rFonts w:ascii="Lucida Grande" w:hAnsi="Lucida Grande" w:hint="default"/>
      </w:rPr>
    </w:lvl>
  </w:abstractNum>
  <w:abstractNum w:abstractNumId="42"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446A5E79"/>
    <w:multiLevelType w:val="hybridMultilevel"/>
    <w:tmpl w:val="5D747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63641B7"/>
    <w:multiLevelType w:val="hybridMultilevel"/>
    <w:tmpl w:val="1952B34C"/>
    <w:lvl w:ilvl="0" w:tplc="C8501A50">
      <w:start w:val="5627"/>
      <w:numFmt w:val="bullet"/>
      <w:lvlText w:val="–"/>
      <w:lvlJc w:val="left"/>
      <w:pPr>
        <w:ind w:left="720" w:hanging="360"/>
      </w:pPr>
      <w:rPr>
        <w:rFonts w:ascii="Ericsson Capital TT" w:hAnsi="Ericsson Capital T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63A4F76"/>
    <w:multiLevelType w:val="hybridMultilevel"/>
    <w:tmpl w:val="49FA7A9E"/>
    <w:lvl w:ilvl="0" w:tplc="B554E7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7683675"/>
    <w:multiLevelType w:val="hybridMultilevel"/>
    <w:tmpl w:val="A69EA0D6"/>
    <w:lvl w:ilvl="0" w:tplc="040B0001">
      <w:start w:val="1"/>
      <w:numFmt w:val="bullet"/>
      <w:lvlText w:val=""/>
      <w:lvlJc w:val="left"/>
      <w:pPr>
        <w:ind w:left="820" w:hanging="360"/>
      </w:pPr>
      <w:rPr>
        <w:rFonts w:ascii="Symbol" w:hAnsi="Symbol" w:hint="default"/>
      </w:rPr>
    </w:lvl>
    <w:lvl w:ilvl="1" w:tplc="040B0003">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47" w15:restartNumberingAfterBreak="0">
    <w:nsid w:val="4B571DB4"/>
    <w:multiLevelType w:val="hybridMultilevel"/>
    <w:tmpl w:val="6DD86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861930"/>
    <w:multiLevelType w:val="hybridMultilevel"/>
    <w:tmpl w:val="01800D6A"/>
    <w:lvl w:ilvl="0" w:tplc="040B0001">
      <w:start w:val="1"/>
      <w:numFmt w:val="bullet"/>
      <w:lvlText w:val=""/>
      <w:lvlJc w:val="left"/>
      <w:pPr>
        <w:ind w:left="924" w:hanging="360"/>
      </w:pPr>
      <w:rPr>
        <w:rFonts w:ascii="Symbol" w:hAnsi="Symbol" w:hint="default"/>
      </w:rPr>
    </w:lvl>
    <w:lvl w:ilvl="1" w:tplc="040B0003" w:tentative="1">
      <w:start w:val="1"/>
      <w:numFmt w:val="bullet"/>
      <w:lvlText w:val="o"/>
      <w:lvlJc w:val="left"/>
      <w:pPr>
        <w:ind w:left="1644" w:hanging="360"/>
      </w:pPr>
      <w:rPr>
        <w:rFonts w:ascii="Courier New" w:hAnsi="Courier New" w:cs="Courier New" w:hint="default"/>
      </w:rPr>
    </w:lvl>
    <w:lvl w:ilvl="2" w:tplc="040B0005" w:tentative="1">
      <w:start w:val="1"/>
      <w:numFmt w:val="bullet"/>
      <w:lvlText w:val=""/>
      <w:lvlJc w:val="left"/>
      <w:pPr>
        <w:ind w:left="2364" w:hanging="360"/>
      </w:pPr>
      <w:rPr>
        <w:rFonts w:ascii="Wingdings" w:hAnsi="Wingdings" w:hint="default"/>
      </w:rPr>
    </w:lvl>
    <w:lvl w:ilvl="3" w:tplc="040B0001" w:tentative="1">
      <w:start w:val="1"/>
      <w:numFmt w:val="bullet"/>
      <w:lvlText w:val=""/>
      <w:lvlJc w:val="left"/>
      <w:pPr>
        <w:ind w:left="3084" w:hanging="360"/>
      </w:pPr>
      <w:rPr>
        <w:rFonts w:ascii="Symbol" w:hAnsi="Symbol" w:hint="default"/>
      </w:rPr>
    </w:lvl>
    <w:lvl w:ilvl="4" w:tplc="040B0003" w:tentative="1">
      <w:start w:val="1"/>
      <w:numFmt w:val="bullet"/>
      <w:lvlText w:val="o"/>
      <w:lvlJc w:val="left"/>
      <w:pPr>
        <w:ind w:left="3804" w:hanging="360"/>
      </w:pPr>
      <w:rPr>
        <w:rFonts w:ascii="Courier New" w:hAnsi="Courier New" w:cs="Courier New" w:hint="default"/>
      </w:rPr>
    </w:lvl>
    <w:lvl w:ilvl="5" w:tplc="040B0005" w:tentative="1">
      <w:start w:val="1"/>
      <w:numFmt w:val="bullet"/>
      <w:lvlText w:val=""/>
      <w:lvlJc w:val="left"/>
      <w:pPr>
        <w:ind w:left="4524" w:hanging="360"/>
      </w:pPr>
      <w:rPr>
        <w:rFonts w:ascii="Wingdings" w:hAnsi="Wingdings" w:hint="default"/>
      </w:rPr>
    </w:lvl>
    <w:lvl w:ilvl="6" w:tplc="040B0001" w:tentative="1">
      <w:start w:val="1"/>
      <w:numFmt w:val="bullet"/>
      <w:lvlText w:val=""/>
      <w:lvlJc w:val="left"/>
      <w:pPr>
        <w:ind w:left="5244" w:hanging="360"/>
      </w:pPr>
      <w:rPr>
        <w:rFonts w:ascii="Symbol" w:hAnsi="Symbol" w:hint="default"/>
      </w:rPr>
    </w:lvl>
    <w:lvl w:ilvl="7" w:tplc="040B0003" w:tentative="1">
      <w:start w:val="1"/>
      <w:numFmt w:val="bullet"/>
      <w:lvlText w:val="o"/>
      <w:lvlJc w:val="left"/>
      <w:pPr>
        <w:ind w:left="5964" w:hanging="360"/>
      </w:pPr>
      <w:rPr>
        <w:rFonts w:ascii="Courier New" w:hAnsi="Courier New" w:cs="Courier New" w:hint="default"/>
      </w:rPr>
    </w:lvl>
    <w:lvl w:ilvl="8" w:tplc="040B0005" w:tentative="1">
      <w:start w:val="1"/>
      <w:numFmt w:val="bullet"/>
      <w:lvlText w:val=""/>
      <w:lvlJc w:val="left"/>
      <w:pPr>
        <w:ind w:left="6684" w:hanging="360"/>
      </w:pPr>
      <w:rPr>
        <w:rFonts w:ascii="Wingdings" w:hAnsi="Wingdings" w:hint="default"/>
      </w:rPr>
    </w:lvl>
  </w:abstractNum>
  <w:abstractNum w:abstractNumId="49" w15:restartNumberingAfterBreak="0">
    <w:nsid w:val="4C052213"/>
    <w:multiLevelType w:val="hybridMultilevel"/>
    <w:tmpl w:val="E026A8D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0" w15:restartNumberingAfterBreak="0">
    <w:nsid w:val="4C7022EA"/>
    <w:multiLevelType w:val="hybridMultilevel"/>
    <w:tmpl w:val="6256E9D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E932BE1"/>
    <w:multiLevelType w:val="hybridMultilevel"/>
    <w:tmpl w:val="2BFA7C50"/>
    <w:lvl w:ilvl="0" w:tplc="9D30AE80">
      <w:start w:val="1"/>
      <w:numFmt w:val="bullet"/>
      <w:lvlText w:val="‒"/>
      <w:lvlJc w:val="left"/>
      <w:pPr>
        <w:tabs>
          <w:tab w:val="num" w:pos="720"/>
        </w:tabs>
        <w:ind w:left="720" w:hanging="360"/>
      </w:pPr>
      <w:rPr>
        <w:rFonts w:ascii="Nokia Pure Text Light" w:hAnsi="Nokia Pure Text Light" w:hint="default"/>
      </w:rPr>
    </w:lvl>
    <w:lvl w:ilvl="1" w:tplc="F028E69C">
      <w:start w:val="1"/>
      <w:numFmt w:val="bullet"/>
      <w:lvlText w:val="‒"/>
      <w:lvlJc w:val="left"/>
      <w:pPr>
        <w:tabs>
          <w:tab w:val="num" w:pos="1440"/>
        </w:tabs>
        <w:ind w:left="1440" w:hanging="360"/>
      </w:pPr>
      <w:rPr>
        <w:rFonts w:ascii="Nokia Pure Text Light" w:hAnsi="Nokia Pure Text Light" w:hint="default"/>
      </w:rPr>
    </w:lvl>
    <w:lvl w:ilvl="2" w:tplc="8998EF4C" w:tentative="1">
      <w:start w:val="1"/>
      <w:numFmt w:val="bullet"/>
      <w:lvlText w:val="‒"/>
      <w:lvlJc w:val="left"/>
      <w:pPr>
        <w:tabs>
          <w:tab w:val="num" w:pos="2160"/>
        </w:tabs>
        <w:ind w:left="2160" w:hanging="360"/>
      </w:pPr>
      <w:rPr>
        <w:rFonts w:ascii="Nokia Pure Text Light" w:hAnsi="Nokia Pure Text Light" w:hint="default"/>
      </w:rPr>
    </w:lvl>
    <w:lvl w:ilvl="3" w:tplc="C388C340" w:tentative="1">
      <w:start w:val="1"/>
      <w:numFmt w:val="bullet"/>
      <w:lvlText w:val="‒"/>
      <w:lvlJc w:val="left"/>
      <w:pPr>
        <w:tabs>
          <w:tab w:val="num" w:pos="2880"/>
        </w:tabs>
        <w:ind w:left="2880" w:hanging="360"/>
      </w:pPr>
      <w:rPr>
        <w:rFonts w:ascii="Nokia Pure Text Light" w:hAnsi="Nokia Pure Text Light" w:hint="default"/>
      </w:rPr>
    </w:lvl>
    <w:lvl w:ilvl="4" w:tplc="0B9E28F8" w:tentative="1">
      <w:start w:val="1"/>
      <w:numFmt w:val="bullet"/>
      <w:lvlText w:val="‒"/>
      <w:lvlJc w:val="left"/>
      <w:pPr>
        <w:tabs>
          <w:tab w:val="num" w:pos="3600"/>
        </w:tabs>
        <w:ind w:left="3600" w:hanging="360"/>
      </w:pPr>
      <w:rPr>
        <w:rFonts w:ascii="Nokia Pure Text Light" w:hAnsi="Nokia Pure Text Light" w:hint="default"/>
      </w:rPr>
    </w:lvl>
    <w:lvl w:ilvl="5" w:tplc="30CEBE9A" w:tentative="1">
      <w:start w:val="1"/>
      <w:numFmt w:val="bullet"/>
      <w:lvlText w:val="‒"/>
      <w:lvlJc w:val="left"/>
      <w:pPr>
        <w:tabs>
          <w:tab w:val="num" w:pos="4320"/>
        </w:tabs>
        <w:ind w:left="4320" w:hanging="360"/>
      </w:pPr>
      <w:rPr>
        <w:rFonts w:ascii="Nokia Pure Text Light" w:hAnsi="Nokia Pure Text Light" w:hint="default"/>
      </w:rPr>
    </w:lvl>
    <w:lvl w:ilvl="6" w:tplc="8CAABFDA" w:tentative="1">
      <w:start w:val="1"/>
      <w:numFmt w:val="bullet"/>
      <w:lvlText w:val="‒"/>
      <w:lvlJc w:val="left"/>
      <w:pPr>
        <w:tabs>
          <w:tab w:val="num" w:pos="5040"/>
        </w:tabs>
        <w:ind w:left="5040" w:hanging="360"/>
      </w:pPr>
      <w:rPr>
        <w:rFonts w:ascii="Nokia Pure Text Light" w:hAnsi="Nokia Pure Text Light" w:hint="default"/>
      </w:rPr>
    </w:lvl>
    <w:lvl w:ilvl="7" w:tplc="966C3152" w:tentative="1">
      <w:start w:val="1"/>
      <w:numFmt w:val="bullet"/>
      <w:lvlText w:val="‒"/>
      <w:lvlJc w:val="left"/>
      <w:pPr>
        <w:tabs>
          <w:tab w:val="num" w:pos="5760"/>
        </w:tabs>
        <w:ind w:left="5760" w:hanging="360"/>
      </w:pPr>
      <w:rPr>
        <w:rFonts w:ascii="Nokia Pure Text Light" w:hAnsi="Nokia Pure Text Light" w:hint="default"/>
      </w:rPr>
    </w:lvl>
    <w:lvl w:ilvl="8" w:tplc="78ACF3EA" w:tentative="1">
      <w:start w:val="1"/>
      <w:numFmt w:val="bullet"/>
      <w:lvlText w:val="‒"/>
      <w:lvlJc w:val="left"/>
      <w:pPr>
        <w:tabs>
          <w:tab w:val="num" w:pos="6480"/>
        </w:tabs>
        <w:ind w:left="6480" w:hanging="360"/>
      </w:pPr>
      <w:rPr>
        <w:rFonts w:ascii="Nokia Pure Text Light" w:hAnsi="Nokia Pure Text Light" w:hint="default"/>
      </w:rPr>
    </w:lvl>
  </w:abstractNum>
  <w:abstractNum w:abstractNumId="52" w15:restartNumberingAfterBreak="0">
    <w:nsid w:val="4FDE366E"/>
    <w:multiLevelType w:val="hybridMultilevel"/>
    <w:tmpl w:val="93C092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50D94913"/>
    <w:multiLevelType w:val="multilevel"/>
    <w:tmpl w:val="09B27678"/>
    <w:name w:val="zzmpNewApplica||New Application|3|3|1|2|2|1||2|2|1||2|2|1||1|4|1||1|4|0||1|4|0||1|4|0||1|4|0||1|4|0||"/>
    <w:lvl w:ilvl="0">
      <w:start w:val="1"/>
      <w:numFmt w:val="decimal"/>
      <w:pStyle w:val="NewApplicaL1"/>
      <w:suff w:val="space"/>
      <w:lvlText w:val="[000%1]    "/>
      <w:lvlJc w:val="left"/>
      <w:pPr>
        <w:tabs>
          <w:tab w:val="num" w:pos="720"/>
        </w:tabs>
        <w:ind w:left="0" w:firstLine="0"/>
      </w:pPr>
      <w:rPr>
        <w:rFonts w:ascii="Times New Roman" w:hAnsi="Times New Roman" w:cs="Times New Roman"/>
        <w:b/>
        <w:i w:val="0"/>
        <w:caps w:val="0"/>
        <w:smallCaps w:val="0"/>
        <w:strike w:val="0"/>
        <w:dstrike w:val="0"/>
        <w:color w:val="auto"/>
        <w:sz w:val="26"/>
        <w:szCs w:val="26"/>
        <w:u w:val="none"/>
        <w:effect w:val="none"/>
      </w:rPr>
    </w:lvl>
    <w:lvl w:ilvl="1">
      <w:start w:val="10"/>
      <w:numFmt w:val="decimal"/>
      <w:lvlRestart w:val="0"/>
      <w:pStyle w:val="NewApplicaL2"/>
      <w:suff w:val="space"/>
      <w:lvlText w:val="[00%2]    "/>
      <w:lvlJc w:val="left"/>
      <w:pPr>
        <w:tabs>
          <w:tab w:val="num" w:pos="720"/>
        </w:tabs>
        <w:ind w:left="0" w:firstLine="0"/>
      </w:pPr>
      <w:rPr>
        <w:rFonts w:ascii="Times New Roman" w:hAnsi="Times New Roman" w:cs="Times New Roman"/>
        <w:b/>
        <w:i w:val="0"/>
        <w:caps w:val="0"/>
        <w:strike w:val="0"/>
        <w:dstrike w:val="0"/>
        <w:color w:val="auto"/>
        <w:sz w:val="26"/>
        <w:szCs w:val="26"/>
        <w:u w:val="none"/>
        <w:effect w:val="none"/>
      </w:rPr>
    </w:lvl>
    <w:lvl w:ilvl="2">
      <w:start w:val="100"/>
      <w:numFmt w:val="decimal"/>
      <w:pStyle w:val="NewApplicaL3"/>
      <w:suff w:val="space"/>
      <w:lvlText w:val="[0%3]    "/>
      <w:lvlJc w:val="left"/>
      <w:pPr>
        <w:tabs>
          <w:tab w:val="num" w:pos="2160"/>
        </w:tabs>
        <w:ind w:left="0" w:firstLine="0"/>
      </w:pPr>
      <w:rPr>
        <w:rFonts w:ascii="Times New Roman" w:hAnsi="Times New Roman" w:cs="Times New Roman"/>
        <w:b/>
        <w:i w:val="0"/>
        <w:caps w:val="0"/>
        <w:strike w:val="0"/>
        <w:dstrike w:val="0"/>
        <w:color w:val="auto"/>
        <w:sz w:val="24"/>
        <w:u w:val="none"/>
        <w:effect w:val="none"/>
      </w:rPr>
    </w:lvl>
    <w:lvl w:ilvl="3">
      <w:start w:val="1"/>
      <w:numFmt w:val="lowerLetter"/>
      <w:pStyle w:val="NewApplicaL4"/>
      <w:lvlText w:val="(%4)"/>
      <w:lvlJc w:val="left"/>
      <w:pPr>
        <w:tabs>
          <w:tab w:val="num" w:pos="2880"/>
        </w:tabs>
        <w:ind w:left="0" w:firstLine="2160"/>
      </w:pPr>
      <w:rPr>
        <w:rFonts w:ascii="Times New Roman" w:hAnsi="Times New Roman" w:cs="Times New Roman"/>
        <w:b w:val="0"/>
        <w:i w:val="0"/>
        <w:caps w:val="0"/>
        <w:strike w:val="0"/>
        <w:dstrike w:val="0"/>
        <w:color w:val="auto"/>
        <w:u w:val="none"/>
        <w:effect w:val="none"/>
      </w:rPr>
    </w:lvl>
    <w:lvl w:ilvl="4">
      <w:start w:val="1"/>
      <w:numFmt w:val="lowerRoman"/>
      <w:pStyle w:val="NewApplicaL5"/>
      <w:lvlText w:val="(%5)"/>
      <w:lvlJc w:val="left"/>
      <w:pPr>
        <w:tabs>
          <w:tab w:val="num" w:pos="3600"/>
        </w:tabs>
        <w:ind w:left="0" w:firstLine="2880"/>
      </w:pPr>
      <w:rPr>
        <w:rFonts w:ascii="Times New Roman" w:hAnsi="Times New Roman" w:cs="Times New Roman"/>
        <w:b w:val="0"/>
        <w:i w:val="0"/>
        <w:caps w:val="0"/>
        <w:strike w:val="0"/>
        <w:dstrike w:val="0"/>
        <w:color w:val="auto"/>
        <w:u w:val="none"/>
        <w:effect w:val="none"/>
      </w:rPr>
    </w:lvl>
    <w:lvl w:ilvl="5">
      <w:start w:val="1"/>
      <w:numFmt w:val="decimal"/>
      <w:pStyle w:val="NewApplicaL6"/>
      <w:lvlText w:val="(%6)"/>
      <w:lvlJc w:val="left"/>
      <w:pPr>
        <w:tabs>
          <w:tab w:val="num" w:pos="4320"/>
        </w:tabs>
        <w:ind w:left="0" w:firstLine="3600"/>
      </w:pPr>
      <w:rPr>
        <w:rFonts w:ascii="Times New Roman" w:hAnsi="Times New Roman" w:cs="Times New Roman"/>
        <w:b w:val="0"/>
        <w:i w:val="0"/>
        <w:caps w:val="0"/>
        <w:strike w:val="0"/>
        <w:dstrike w:val="0"/>
        <w:color w:val="auto"/>
        <w:u w:val="none"/>
        <w:effect w:val="none"/>
      </w:rPr>
    </w:lvl>
    <w:lvl w:ilvl="6">
      <w:start w:val="1"/>
      <w:numFmt w:val="lowerLetter"/>
      <w:pStyle w:val="NewApplicaL7"/>
      <w:lvlText w:val="(%7)"/>
      <w:lvlJc w:val="left"/>
      <w:pPr>
        <w:tabs>
          <w:tab w:val="num" w:pos="2160"/>
        </w:tabs>
        <w:ind w:left="0" w:firstLine="1440"/>
      </w:pPr>
      <w:rPr>
        <w:rFonts w:ascii="Times New Roman" w:hAnsi="Times New Roman" w:cs="Times New Roman"/>
        <w:b w:val="0"/>
        <w:i w:val="0"/>
        <w:caps w:val="0"/>
        <w:strike w:val="0"/>
        <w:dstrike w:val="0"/>
        <w:color w:val="auto"/>
        <w:u w:val="none"/>
        <w:effect w:val="none"/>
      </w:rPr>
    </w:lvl>
    <w:lvl w:ilvl="7">
      <w:start w:val="1"/>
      <w:numFmt w:val="lowerRoman"/>
      <w:pStyle w:val="NewApplicaL8"/>
      <w:lvlText w:val="(%8)"/>
      <w:lvlJc w:val="left"/>
      <w:pPr>
        <w:tabs>
          <w:tab w:val="num" w:pos="2880"/>
        </w:tabs>
        <w:ind w:left="0" w:firstLine="2160"/>
      </w:pPr>
      <w:rPr>
        <w:rFonts w:ascii="Times New Roman" w:hAnsi="Times New Roman" w:cs="Times New Roman"/>
        <w:b w:val="0"/>
        <w:i w:val="0"/>
        <w:caps w:val="0"/>
        <w:strike w:val="0"/>
        <w:dstrike w:val="0"/>
        <w:color w:val="auto"/>
        <w:u w:val="none"/>
        <w:effect w:val="none"/>
      </w:rPr>
    </w:lvl>
    <w:lvl w:ilvl="8">
      <w:start w:val="1"/>
      <w:numFmt w:val="decimal"/>
      <w:pStyle w:val="NewApplicaL9"/>
      <w:lvlText w:val="(%9)"/>
      <w:lvlJc w:val="left"/>
      <w:pPr>
        <w:tabs>
          <w:tab w:val="num" w:pos="3600"/>
        </w:tabs>
        <w:ind w:left="0" w:firstLine="2880"/>
      </w:pPr>
      <w:rPr>
        <w:rFonts w:ascii="Times New Roman" w:hAnsi="Times New Roman" w:cs="Times New Roman"/>
        <w:b w:val="0"/>
        <w:i w:val="0"/>
        <w:caps w:val="0"/>
        <w:strike w:val="0"/>
        <w:dstrike w:val="0"/>
        <w:color w:val="auto"/>
        <w:u w:val="none"/>
        <w:effect w:val="none"/>
      </w:rPr>
    </w:lvl>
  </w:abstractNum>
  <w:abstractNum w:abstractNumId="54" w15:restartNumberingAfterBreak="0">
    <w:nsid w:val="51795ABE"/>
    <w:multiLevelType w:val="hybridMultilevel"/>
    <w:tmpl w:val="EB48CEE2"/>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tentative="1">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55" w15:restartNumberingAfterBreak="0">
    <w:nsid w:val="532C7A7D"/>
    <w:multiLevelType w:val="hybridMultilevel"/>
    <w:tmpl w:val="D89214CC"/>
    <w:lvl w:ilvl="0" w:tplc="040B0001">
      <w:start w:val="1"/>
      <w:numFmt w:val="bullet"/>
      <w:lvlText w:val=""/>
      <w:lvlJc w:val="left"/>
      <w:pPr>
        <w:ind w:left="1020" w:hanging="360"/>
      </w:pPr>
      <w:rPr>
        <w:rFonts w:ascii="Symbol" w:hAnsi="Symbol" w:hint="default"/>
      </w:rPr>
    </w:lvl>
    <w:lvl w:ilvl="1" w:tplc="040B0003" w:tentative="1">
      <w:start w:val="1"/>
      <w:numFmt w:val="bullet"/>
      <w:lvlText w:val="o"/>
      <w:lvlJc w:val="left"/>
      <w:pPr>
        <w:ind w:left="1740" w:hanging="360"/>
      </w:pPr>
      <w:rPr>
        <w:rFonts w:ascii="Courier New" w:hAnsi="Courier New" w:cs="Courier New" w:hint="default"/>
      </w:rPr>
    </w:lvl>
    <w:lvl w:ilvl="2" w:tplc="040B0005" w:tentative="1">
      <w:start w:val="1"/>
      <w:numFmt w:val="bullet"/>
      <w:lvlText w:val=""/>
      <w:lvlJc w:val="left"/>
      <w:pPr>
        <w:ind w:left="2460" w:hanging="360"/>
      </w:pPr>
      <w:rPr>
        <w:rFonts w:ascii="Wingdings" w:hAnsi="Wingdings" w:hint="default"/>
      </w:rPr>
    </w:lvl>
    <w:lvl w:ilvl="3" w:tplc="040B0001" w:tentative="1">
      <w:start w:val="1"/>
      <w:numFmt w:val="bullet"/>
      <w:lvlText w:val=""/>
      <w:lvlJc w:val="left"/>
      <w:pPr>
        <w:ind w:left="3180" w:hanging="360"/>
      </w:pPr>
      <w:rPr>
        <w:rFonts w:ascii="Symbol" w:hAnsi="Symbol" w:hint="default"/>
      </w:rPr>
    </w:lvl>
    <w:lvl w:ilvl="4" w:tplc="040B0003" w:tentative="1">
      <w:start w:val="1"/>
      <w:numFmt w:val="bullet"/>
      <w:lvlText w:val="o"/>
      <w:lvlJc w:val="left"/>
      <w:pPr>
        <w:ind w:left="3900" w:hanging="360"/>
      </w:pPr>
      <w:rPr>
        <w:rFonts w:ascii="Courier New" w:hAnsi="Courier New" w:cs="Courier New" w:hint="default"/>
      </w:rPr>
    </w:lvl>
    <w:lvl w:ilvl="5" w:tplc="040B0005" w:tentative="1">
      <w:start w:val="1"/>
      <w:numFmt w:val="bullet"/>
      <w:lvlText w:val=""/>
      <w:lvlJc w:val="left"/>
      <w:pPr>
        <w:ind w:left="4620" w:hanging="360"/>
      </w:pPr>
      <w:rPr>
        <w:rFonts w:ascii="Wingdings" w:hAnsi="Wingdings" w:hint="default"/>
      </w:rPr>
    </w:lvl>
    <w:lvl w:ilvl="6" w:tplc="040B0001" w:tentative="1">
      <w:start w:val="1"/>
      <w:numFmt w:val="bullet"/>
      <w:lvlText w:val=""/>
      <w:lvlJc w:val="left"/>
      <w:pPr>
        <w:ind w:left="5340" w:hanging="360"/>
      </w:pPr>
      <w:rPr>
        <w:rFonts w:ascii="Symbol" w:hAnsi="Symbol" w:hint="default"/>
      </w:rPr>
    </w:lvl>
    <w:lvl w:ilvl="7" w:tplc="040B0003" w:tentative="1">
      <w:start w:val="1"/>
      <w:numFmt w:val="bullet"/>
      <w:lvlText w:val="o"/>
      <w:lvlJc w:val="left"/>
      <w:pPr>
        <w:ind w:left="6060" w:hanging="360"/>
      </w:pPr>
      <w:rPr>
        <w:rFonts w:ascii="Courier New" w:hAnsi="Courier New" w:cs="Courier New" w:hint="default"/>
      </w:rPr>
    </w:lvl>
    <w:lvl w:ilvl="8" w:tplc="040B0005" w:tentative="1">
      <w:start w:val="1"/>
      <w:numFmt w:val="bullet"/>
      <w:lvlText w:val=""/>
      <w:lvlJc w:val="left"/>
      <w:pPr>
        <w:ind w:left="6780" w:hanging="360"/>
      </w:pPr>
      <w:rPr>
        <w:rFonts w:ascii="Wingdings" w:hAnsi="Wingdings" w:hint="default"/>
      </w:rPr>
    </w:lvl>
  </w:abstractNum>
  <w:abstractNum w:abstractNumId="56" w15:restartNumberingAfterBreak="0">
    <w:nsid w:val="558A5E59"/>
    <w:multiLevelType w:val="hybridMultilevel"/>
    <w:tmpl w:val="9D6A8F7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CD5266C"/>
    <w:multiLevelType w:val="hybridMultilevel"/>
    <w:tmpl w:val="73EA4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0C24759"/>
    <w:multiLevelType w:val="hybridMultilevel"/>
    <w:tmpl w:val="CEAEA5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610F3E04"/>
    <w:multiLevelType w:val="hybridMultilevel"/>
    <w:tmpl w:val="B888D1B2"/>
    <w:lvl w:ilvl="0" w:tplc="5622B530">
      <w:start w:val="1"/>
      <w:numFmt w:val="bullet"/>
      <w:lvlText w:val="‒"/>
      <w:lvlJc w:val="left"/>
      <w:pPr>
        <w:tabs>
          <w:tab w:val="num" w:pos="720"/>
        </w:tabs>
        <w:ind w:left="720" w:hanging="360"/>
      </w:pPr>
      <w:rPr>
        <w:rFonts w:ascii="Nokia Pure Text Light" w:hAnsi="Nokia Pure Text Light" w:hint="default"/>
      </w:rPr>
    </w:lvl>
    <w:lvl w:ilvl="1" w:tplc="82E89388">
      <w:start w:val="1"/>
      <w:numFmt w:val="bullet"/>
      <w:lvlText w:val="‒"/>
      <w:lvlJc w:val="left"/>
      <w:pPr>
        <w:tabs>
          <w:tab w:val="num" w:pos="1440"/>
        </w:tabs>
        <w:ind w:left="1440" w:hanging="360"/>
      </w:pPr>
      <w:rPr>
        <w:rFonts w:ascii="Nokia Pure Text Light" w:hAnsi="Nokia Pure Text Light" w:hint="default"/>
      </w:rPr>
    </w:lvl>
    <w:lvl w:ilvl="2" w:tplc="7250DF32" w:tentative="1">
      <w:start w:val="1"/>
      <w:numFmt w:val="bullet"/>
      <w:lvlText w:val="‒"/>
      <w:lvlJc w:val="left"/>
      <w:pPr>
        <w:tabs>
          <w:tab w:val="num" w:pos="2160"/>
        </w:tabs>
        <w:ind w:left="2160" w:hanging="360"/>
      </w:pPr>
      <w:rPr>
        <w:rFonts w:ascii="Nokia Pure Text Light" w:hAnsi="Nokia Pure Text Light" w:hint="default"/>
      </w:rPr>
    </w:lvl>
    <w:lvl w:ilvl="3" w:tplc="09A666B2" w:tentative="1">
      <w:start w:val="1"/>
      <w:numFmt w:val="bullet"/>
      <w:lvlText w:val="‒"/>
      <w:lvlJc w:val="left"/>
      <w:pPr>
        <w:tabs>
          <w:tab w:val="num" w:pos="2880"/>
        </w:tabs>
        <w:ind w:left="2880" w:hanging="360"/>
      </w:pPr>
      <w:rPr>
        <w:rFonts w:ascii="Nokia Pure Text Light" w:hAnsi="Nokia Pure Text Light" w:hint="default"/>
      </w:rPr>
    </w:lvl>
    <w:lvl w:ilvl="4" w:tplc="3308413E" w:tentative="1">
      <w:start w:val="1"/>
      <w:numFmt w:val="bullet"/>
      <w:lvlText w:val="‒"/>
      <w:lvlJc w:val="left"/>
      <w:pPr>
        <w:tabs>
          <w:tab w:val="num" w:pos="3600"/>
        </w:tabs>
        <w:ind w:left="3600" w:hanging="360"/>
      </w:pPr>
      <w:rPr>
        <w:rFonts w:ascii="Nokia Pure Text Light" w:hAnsi="Nokia Pure Text Light" w:hint="default"/>
      </w:rPr>
    </w:lvl>
    <w:lvl w:ilvl="5" w:tplc="4560D5A6" w:tentative="1">
      <w:start w:val="1"/>
      <w:numFmt w:val="bullet"/>
      <w:lvlText w:val="‒"/>
      <w:lvlJc w:val="left"/>
      <w:pPr>
        <w:tabs>
          <w:tab w:val="num" w:pos="4320"/>
        </w:tabs>
        <w:ind w:left="4320" w:hanging="360"/>
      </w:pPr>
      <w:rPr>
        <w:rFonts w:ascii="Nokia Pure Text Light" w:hAnsi="Nokia Pure Text Light" w:hint="default"/>
      </w:rPr>
    </w:lvl>
    <w:lvl w:ilvl="6" w:tplc="CEF4DC60" w:tentative="1">
      <w:start w:val="1"/>
      <w:numFmt w:val="bullet"/>
      <w:lvlText w:val="‒"/>
      <w:lvlJc w:val="left"/>
      <w:pPr>
        <w:tabs>
          <w:tab w:val="num" w:pos="5040"/>
        </w:tabs>
        <w:ind w:left="5040" w:hanging="360"/>
      </w:pPr>
      <w:rPr>
        <w:rFonts w:ascii="Nokia Pure Text Light" w:hAnsi="Nokia Pure Text Light" w:hint="default"/>
      </w:rPr>
    </w:lvl>
    <w:lvl w:ilvl="7" w:tplc="0F54543A" w:tentative="1">
      <w:start w:val="1"/>
      <w:numFmt w:val="bullet"/>
      <w:lvlText w:val="‒"/>
      <w:lvlJc w:val="left"/>
      <w:pPr>
        <w:tabs>
          <w:tab w:val="num" w:pos="5760"/>
        </w:tabs>
        <w:ind w:left="5760" w:hanging="360"/>
      </w:pPr>
      <w:rPr>
        <w:rFonts w:ascii="Nokia Pure Text Light" w:hAnsi="Nokia Pure Text Light" w:hint="default"/>
      </w:rPr>
    </w:lvl>
    <w:lvl w:ilvl="8" w:tplc="C160028A" w:tentative="1">
      <w:start w:val="1"/>
      <w:numFmt w:val="bullet"/>
      <w:lvlText w:val="‒"/>
      <w:lvlJc w:val="left"/>
      <w:pPr>
        <w:tabs>
          <w:tab w:val="num" w:pos="6480"/>
        </w:tabs>
        <w:ind w:left="6480" w:hanging="360"/>
      </w:pPr>
      <w:rPr>
        <w:rFonts w:ascii="Nokia Pure Text Light" w:hAnsi="Nokia Pure Text Light" w:hint="default"/>
      </w:rPr>
    </w:lvl>
  </w:abstractNum>
  <w:abstractNum w:abstractNumId="61" w15:restartNumberingAfterBreak="0">
    <w:nsid w:val="68A82F8A"/>
    <w:multiLevelType w:val="hybridMultilevel"/>
    <w:tmpl w:val="F24033A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6A632E4B"/>
    <w:multiLevelType w:val="hybridMultilevel"/>
    <w:tmpl w:val="7CB6D2C2"/>
    <w:lvl w:ilvl="0" w:tplc="9F7844FC">
      <w:start w:val="1"/>
      <w:numFmt w:val="bullet"/>
      <w:lvlText w:val="-"/>
      <w:lvlJc w:val="left"/>
      <w:pPr>
        <w:ind w:left="1004" w:hanging="360"/>
      </w:pPr>
      <w:rPr>
        <w:rFonts w:ascii="Times New Roman" w:eastAsia="SimSun" w:hAnsi="Times New Roman" w:cs="Times New Roman" w:hint="default"/>
        <w:sz w:val="20"/>
        <w:szCs w:val="20"/>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63" w15:restartNumberingAfterBreak="0">
    <w:nsid w:val="6E1F7C0B"/>
    <w:multiLevelType w:val="hybridMultilevel"/>
    <w:tmpl w:val="CC268160"/>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64" w15:restartNumberingAfterBreak="0">
    <w:nsid w:val="6E2E1C2D"/>
    <w:multiLevelType w:val="hybridMultilevel"/>
    <w:tmpl w:val="3DB25A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70246A63"/>
    <w:multiLevelType w:val="hybridMultilevel"/>
    <w:tmpl w:val="376A3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337722"/>
    <w:multiLevelType w:val="hybridMultilevel"/>
    <w:tmpl w:val="5476A41C"/>
    <w:lvl w:ilvl="0" w:tplc="040B0001">
      <w:start w:val="1"/>
      <w:numFmt w:val="bullet"/>
      <w:lvlText w:val=""/>
      <w:lvlJc w:val="left"/>
      <w:pPr>
        <w:ind w:left="1212"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67" w15:restartNumberingAfterBreak="0">
    <w:nsid w:val="713C5B76"/>
    <w:multiLevelType w:val="hybridMultilevel"/>
    <w:tmpl w:val="3156398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795F12D2"/>
    <w:multiLevelType w:val="hybridMultilevel"/>
    <w:tmpl w:val="68DC5B7A"/>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70" w15:restartNumberingAfterBreak="0">
    <w:nsid w:val="799D4A06"/>
    <w:multiLevelType w:val="hybridMultilevel"/>
    <w:tmpl w:val="207210B2"/>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71" w15:restartNumberingAfterBreak="0">
    <w:nsid w:val="7A4332BC"/>
    <w:multiLevelType w:val="hybridMultilevel"/>
    <w:tmpl w:val="4B185FD4"/>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72" w15:restartNumberingAfterBreak="0">
    <w:nsid w:val="7AEB6E25"/>
    <w:multiLevelType w:val="hybridMultilevel"/>
    <w:tmpl w:val="A96050D2"/>
    <w:lvl w:ilvl="0" w:tplc="D7C6598C">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3" w15:restartNumberingAfterBreak="0">
    <w:nsid w:val="7B3169AB"/>
    <w:multiLevelType w:val="hybridMultilevel"/>
    <w:tmpl w:val="36A009F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33"/>
  </w:num>
  <w:num w:numId="2">
    <w:abstractNumId w:val="44"/>
  </w:num>
  <w:num w:numId="3">
    <w:abstractNumId w:val="36"/>
  </w:num>
  <w:num w:numId="4">
    <w:abstractNumId w:val="20"/>
  </w:num>
  <w:num w:numId="5">
    <w:abstractNumId w:val="22"/>
  </w:num>
  <w:num w:numId="6">
    <w:abstractNumId w:val="28"/>
  </w:num>
  <w:num w:numId="7">
    <w:abstractNumId w:val="16"/>
  </w:num>
  <w:num w:numId="8">
    <w:abstractNumId w:val="40"/>
  </w:num>
  <w:num w:numId="9">
    <w:abstractNumId w:val="61"/>
  </w:num>
  <w:num w:numId="10">
    <w:abstractNumId w:val="54"/>
  </w:num>
  <w:num w:numId="11">
    <w:abstractNumId w:val="66"/>
  </w:num>
  <w:num w:numId="12">
    <w:abstractNumId w:val="12"/>
  </w:num>
  <w:num w:numId="13">
    <w:abstractNumId w:val="39"/>
  </w:num>
  <w:num w:numId="14">
    <w:abstractNumId w:val="49"/>
  </w:num>
  <w:num w:numId="15">
    <w:abstractNumId w:val="17"/>
  </w:num>
  <w:num w:numId="16">
    <w:abstractNumId w:val="26"/>
  </w:num>
  <w:num w:numId="17">
    <w:abstractNumId w:val="47"/>
  </w:num>
  <w:num w:numId="18">
    <w:abstractNumId w:val="67"/>
  </w:num>
  <w:num w:numId="19">
    <w:abstractNumId w:val="1"/>
  </w:num>
  <w:num w:numId="20">
    <w:abstractNumId w:val="8"/>
  </w:num>
  <w:num w:numId="21">
    <w:abstractNumId w:val="4"/>
  </w:num>
  <w:num w:numId="22">
    <w:abstractNumId w:val="59"/>
  </w:num>
  <w:num w:numId="23">
    <w:abstractNumId w:val="51"/>
  </w:num>
  <w:num w:numId="24">
    <w:abstractNumId w:val="32"/>
  </w:num>
  <w:num w:numId="25">
    <w:abstractNumId w:val="70"/>
  </w:num>
  <w:num w:numId="26">
    <w:abstractNumId w:val="60"/>
  </w:num>
  <w:num w:numId="27">
    <w:abstractNumId w:val="7"/>
  </w:num>
  <w:num w:numId="28">
    <w:abstractNumId w:val="63"/>
  </w:num>
  <w:num w:numId="29">
    <w:abstractNumId w:val="18"/>
  </w:num>
  <w:num w:numId="30">
    <w:abstractNumId w:val="38"/>
  </w:num>
  <w:num w:numId="31">
    <w:abstractNumId w:val="58"/>
  </w:num>
  <w:num w:numId="32">
    <w:abstractNumId w:val="64"/>
  </w:num>
  <w:num w:numId="33">
    <w:abstractNumId w:val="25"/>
  </w:num>
  <w:num w:numId="34">
    <w:abstractNumId w:val="48"/>
  </w:num>
  <w:num w:numId="35">
    <w:abstractNumId w:val="10"/>
  </w:num>
  <w:num w:numId="36">
    <w:abstractNumId w:val="27"/>
  </w:num>
  <w:num w:numId="37">
    <w:abstractNumId w:val="65"/>
  </w:num>
  <w:num w:numId="38">
    <w:abstractNumId w:val="52"/>
  </w:num>
  <w:num w:numId="39">
    <w:abstractNumId w:val="46"/>
  </w:num>
  <w:num w:numId="40">
    <w:abstractNumId w:val="31"/>
  </w:num>
  <w:num w:numId="41">
    <w:abstractNumId w:val="24"/>
  </w:num>
  <w:num w:numId="42">
    <w:abstractNumId w:val="73"/>
  </w:num>
  <w:num w:numId="43">
    <w:abstractNumId w:val="45"/>
  </w:num>
  <w:num w:numId="44">
    <w:abstractNumId w:val="11"/>
  </w:num>
  <w:num w:numId="45">
    <w:abstractNumId w:val="42"/>
  </w:num>
  <w:num w:numId="46">
    <w:abstractNumId w:val="53"/>
    <w:lvlOverride w:ilvl="0">
      <w:startOverride w:val="1"/>
    </w:lvlOverride>
    <w:lvlOverride w:ilvl="1">
      <w:startOverride w:val="10"/>
    </w:lvlOverride>
    <w:lvlOverride w:ilvl="2">
      <w:startOverride w:val="10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num>
  <w:num w:numId="48">
    <w:abstractNumId w:val="62"/>
  </w:num>
  <w:num w:numId="49">
    <w:abstractNumId w:val="50"/>
  </w:num>
  <w:num w:numId="50">
    <w:abstractNumId w:val="23"/>
  </w:num>
  <w:num w:numId="51">
    <w:abstractNumId w:val="57"/>
  </w:num>
  <w:num w:numId="52">
    <w:abstractNumId w:val="68"/>
  </w:num>
  <w:num w:numId="53">
    <w:abstractNumId w:val="3"/>
  </w:num>
  <w:num w:numId="54">
    <w:abstractNumId w:val="55"/>
  </w:num>
  <w:num w:numId="55">
    <w:abstractNumId w:val="41"/>
  </w:num>
  <w:num w:numId="56">
    <w:abstractNumId w:val="13"/>
  </w:num>
  <w:num w:numId="57">
    <w:abstractNumId w:val="37"/>
  </w:num>
  <w:num w:numId="58">
    <w:abstractNumId w:val="43"/>
  </w:num>
  <w:num w:numId="59">
    <w:abstractNumId w:val="0"/>
  </w:num>
  <w:num w:numId="60">
    <w:abstractNumId w:val="6"/>
  </w:num>
  <w:num w:numId="61">
    <w:abstractNumId w:val="35"/>
  </w:num>
  <w:num w:numId="62">
    <w:abstractNumId w:val="29"/>
  </w:num>
  <w:num w:numId="63">
    <w:abstractNumId w:val="15"/>
  </w:num>
  <w:num w:numId="64">
    <w:abstractNumId w:val="23"/>
  </w:num>
  <w:num w:numId="65">
    <w:abstractNumId w:val="23"/>
  </w:num>
  <w:num w:numId="66">
    <w:abstractNumId w:val="23"/>
  </w:num>
  <w:num w:numId="67">
    <w:abstractNumId w:val="23"/>
  </w:num>
  <w:num w:numId="68">
    <w:abstractNumId w:val="2"/>
  </w:num>
  <w:num w:numId="69">
    <w:abstractNumId w:val="30"/>
  </w:num>
  <w:num w:numId="70">
    <w:abstractNumId w:val="5"/>
  </w:num>
  <w:num w:numId="71">
    <w:abstractNumId w:val="69"/>
  </w:num>
  <w:num w:numId="72">
    <w:abstractNumId w:val="71"/>
  </w:num>
  <w:num w:numId="73">
    <w:abstractNumId w:val="14"/>
  </w:num>
  <w:num w:numId="74">
    <w:abstractNumId w:val="9"/>
  </w:num>
  <w:num w:numId="75">
    <w:abstractNumId w:val="34"/>
  </w:num>
  <w:num w:numId="76">
    <w:abstractNumId w:val="56"/>
  </w:num>
  <w:num w:numId="77">
    <w:abstractNumId w:val="72"/>
  </w:num>
  <w:num w:numId="78">
    <w:abstractNumId w:val="1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de-DE" w:vendorID="64" w:dllVersion="0" w:nlCheck="1" w:checkStyle="0"/>
  <w:activeWritingStyle w:appName="MSWord" w:lang="fi-FI" w:vendorID="64" w:dllVersion="0" w:nlCheck="1" w:checkStyle="0"/>
  <w:activeWritingStyle w:appName="MSWord" w:lang="en-GB" w:vendorID="64" w:dllVersion="6" w:nlCheck="1" w:checkStyle="0"/>
  <w:activeWritingStyle w:appName="MSWord" w:lang="en-US" w:vendorID="64" w:dllVersion="6" w:nlCheck="1" w:checkStyle="0"/>
  <w:activeWritingStyle w:appName="MSWord" w:lang="fi-FI"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savePreviewPicture/>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68E"/>
    <w:rsid w:val="00004AC8"/>
    <w:rsid w:val="00006055"/>
    <w:rsid w:val="00006AD4"/>
    <w:rsid w:val="000074C4"/>
    <w:rsid w:val="000079A6"/>
    <w:rsid w:val="00011BB2"/>
    <w:rsid w:val="00012505"/>
    <w:rsid w:val="0001262C"/>
    <w:rsid w:val="00012C4F"/>
    <w:rsid w:val="000131D1"/>
    <w:rsid w:val="00013455"/>
    <w:rsid w:val="000134E3"/>
    <w:rsid w:val="00013632"/>
    <w:rsid w:val="000137FC"/>
    <w:rsid w:val="00013F5E"/>
    <w:rsid w:val="0001403F"/>
    <w:rsid w:val="00014091"/>
    <w:rsid w:val="0001411B"/>
    <w:rsid w:val="000146BD"/>
    <w:rsid w:val="0001487F"/>
    <w:rsid w:val="00014F35"/>
    <w:rsid w:val="00015F98"/>
    <w:rsid w:val="0001614D"/>
    <w:rsid w:val="000166AC"/>
    <w:rsid w:val="0001733A"/>
    <w:rsid w:val="00017B7F"/>
    <w:rsid w:val="00017EDA"/>
    <w:rsid w:val="0002046D"/>
    <w:rsid w:val="0002348B"/>
    <w:rsid w:val="00023742"/>
    <w:rsid w:val="00024AEF"/>
    <w:rsid w:val="00025419"/>
    <w:rsid w:val="00026C65"/>
    <w:rsid w:val="00026DC3"/>
    <w:rsid w:val="00027755"/>
    <w:rsid w:val="00030048"/>
    <w:rsid w:val="0003072D"/>
    <w:rsid w:val="000314CD"/>
    <w:rsid w:val="000318ED"/>
    <w:rsid w:val="00033544"/>
    <w:rsid w:val="0003479E"/>
    <w:rsid w:val="0003484F"/>
    <w:rsid w:val="00035691"/>
    <w:rsid w:val="00035C0E"/>
    <w:rsid w:val="00036D13"/>
    <w:rsid w:val="0004132D"/>
    <w:rsid w:val="00041358"/>
    <w:rsid w:val="0004383E"/>
    <w:rsid w:val="00044CFA"/>
    <w:rsid w:val="00044D3A"/>
    <w:rsid w:val="00044D80"/>
    <w:rsid w:val="000459C7"/>
    <w:rsid w:val="00046630"/>
    <w:rsid w:val="00046C80"/>
    <w:rsid w:val="00047FFA"/>
    <w:rsid w:val="00050112"/>
    <w:rsid w:val="00050466"/>
    <w:rsid w:val="000505CC"/>
    <w:rsid w:val="000511F9"/>
    <w:rsid w:val="0005230E"/>
    <w:rsid w:val="00052850"/>
    <w:rsid w:val="000528A2"/>
    <w:rsid w:val="00052BBA"/>
    <w:rsid w:val="00052C0A"/>
    <w:rsid w:val="00052E2B"/>
    <w:rsid w:val="00054D9D"/>
    <w:rsid w:val="00055676"/>
    <w:rsid w:val="00055EDA"/>
    <w:rsid w:val="00056544"/>
    <w:rsid w:val="00056949"/>
    <w:rsid w:val="000578A2"/>
    <w:rsid w:val="00060269"/>
    <w:rsid w:val="00060D8E"/>
    <w:rsid w:val="00062159"/>
    <w:rsid w:val="0006245E"/>
    <w:rsid w:val="00062ABB"/>
    <w:rsid w:val="000631B7"/>
    <w:rsid w:val="00063D9E"/>
    <w:rsid w:val="00064AD3"/>
    <w:rsid w:val="00064CE3"/>
    <w:rsid w:val="00065088"/>
    <w:rsid w:val="0006519B"/>
    <w:rsid w:val="000652D3"/>
    <w:rsid w:val="000654A0"/>
    <w:rsid w:val="00067799"/>
    <w:rsid w:val="00067D46"/>
    <w:rsid w:val="00067FFB"/>
    <w:rsid w:val="000707CA"/>
    <w:rsid w:val="000707FF"/>
    <w:rsid w:val="00070D32"/>
    <w:rsid w:val="0007208A"/>
    <w:rsid w:val="000721F7"/>
    <w:rsid w:val="00072BBA"/>
    <w:rsid w:val="00072FF5"/>
    <w:rsid w:val="00074BE9"/>
    <w:rsid w:val="00074BEF"/>
    <w:rsid w:val="00075FDA"/>
    <w:rsid w:val="000762E8"/>
    <w:rsid w:val="00076386"/>
    <w:rsid w:val="00076D82"/>
    <w:rsid w:val="00081816"/>
    <w:rsid w:val="00081EC2"/>
    <w:rsid w:val="000823FE"/>
    <w:rsid w:val="00083800"/>
    <w:rsid w:val="00083C3D"/>
    <w:rsid w:val="00084A65"/>
    <w:rsid w:val="000910B5"/>
    <w:rsid w:val="0009185A"/>
    <w:rsid w:val="00091A92"/>
    <w:rsid w:val="00093C49"/>
    <w:rsid w:val="00094050"/>
    <w:rsid w:val="00095A80"/>
    <w:rsid w:val="00096724"/>
    <w:rsid w:val="000973C8"/>
    <w:rsid w:val="000973E1"/>
    <w:rsid w:val="000A1402"/>
    <w:rsid w:val="000A20BA"/>
    <w:rsid w:val="000A262C"/>
    <w:rsid w:val="000A38C0"/>
    <w:rsid w:val="000A3C8D"/>
    <w:rsid w:val="000A40EC"/>
    <w:rsid w:val="000A4677"/>
    <w:rsid w:val="000A4BB2"/>
    <w:rsid w:val="000A54EE"/>
    <w:rsid w:val="000A6A23"/>
    <w:rsid w:val="000A7BC5"/>
    <w:rsid w:val="000A7F64"/>
    <w:rsid w:val="000B0C45"/>
    <w:rsid w:val="000B12B9"/>
    <w:rsid w:val="000B16DB"/>
    <w:rsid w:val="000B1C5E"/>
    <w:rsid w:val="000B1D79"/>
    <w:rsid w:val="000B2282"/>
    <w:rsid w:val="000B2A11"/>
    <w:rsid w:val="000B2A5B"/>
    <w:rsid w:val="000B2B69"/>
    <w:rsid w:val="000B3B91"/>
    <w:rsid w:val="000B5AC9"/>
    <w:rsid w:val="000B5F0A"/>
    <w:rsid w:val="000B7B9A"/>
    <w:rsid w:val="000C13BC"/>
    <w:rsid w:val="000C1D59"/>
    <w:rsid w:val="000C3B02"/>
    <w:rsid w:val="000C48B7"/>
    <w:rsid w:val="000C501D"/>
    <w:rsid w:val="000C74BA"/>
    <w:rsid w:val="000C7531"/>
    <w:rsid w:val="000C7C3F"/>
    <w:rsid w:val="000C7ED5"/>
    <w:rsid w:val="000D0BD6"/>
    <w:rsid w:val="000D0C61"/>
    <w:rsid w:val="000D0F89"/>
    <w:rsid w:val="000D27AD"/>
    <w:rsid w:val="000D29D1"/>
    <w:rsid w:val="000D2B0A"/>
    <w:rsid w:val="000D3286"/>
    <w:rsid w:val="000D344D"/>
    <w:rsid w:val="000D3FBC"/>
    <w:rsid w:val="000D40E7"/>
    <w:rsid w:val="000D47F3"/>
    <w:rsid w:val="000D584F"/>
    <w:rsid w:val="000D5C8D"/>
    <w:rsid w:val="000D6E55"/>
    <w:rsid w:val="000E0699"/>
    <w:rsid w:val="000E071E"/>
    <w:rsid w:val="000E248B"/>
    <w:rsid w:val="000E27AA"/>
    <w:rsid w:val="000E337A"/>
    <w:rsid w:val="000E4350"/>
    <w:rsid w:val="000E4408"/>
    <w:rsid w:val="000E5716"/>
    <w:rsid w:val="000E73D4"/>
    <w:rsid w:val="000E75EA"/>
    <w:rsid w:val="000E7A24"/>
    <w:rsid w:val="000E7A79"/>
    <w:rsid w:val="000F15B2"/>
    <w:rsid w:val="000F19DE"/>
    <w:rsid w:val="000F2E1F"/>
    <w:rsid w:val="000F3270"/>
    <w:rsid w:val="000F33CC"/>
    <w:rsid w:val="000F346E"/>
    <w:rsid w:val="000F37B0"/>
    <w:rsid w:val="000F4595"/>
    <w:rsid w:val="000F46C5"/>
    <w:rsid w:val="000F4CB2"/>
    <w:rsid w:val="000F4EC0"/>
    <w:rsid w:val="000F568D"/>
    <w:rsid w:val="000F5B39"/>
    <w:rsid w:val="000F6315"/>
    <w:rsid w:val="000F6351"/>
    <w:rsid w:val="000F72E8"/>
    <w:rsid w:val="000F7FAB"/>
    <w:rsid w:val="0010040C"/>
    <w:rsid w:val="00101875"/>
    <w:rsid w:val="00101C4F"/>
    <w:rsid w:val="00102C9F"/>
    <w:rsid w:val="001036C8"/>
    <w:rsid w:val="00103AB4"/>
    <w:rsid w:val="00105DB7"/>
    <w:rsid w:val="001068D2"/>
    <w:rsid w:val="001103BD"/>
    <w:rsid w:val="00111208"/>
    <w:rsid w:val="00111808"/>
    <w:rsid w:val="0011339F"/>
    <w:rsid w:val="00114E96"/>
    <w:rsid w:val="00115828"/>
    <w:rsid w:val="0011644A"/>
    <w:rsid w:val="001167B3"/>
    <w:rsid w:val="00117332"/>
    <w:rsid w:val="001204DD"/>
    <w:rsid w:val="00122839"/>
    <w:rsid w:val="001237AC"/>
    <w:rsid w:val="00123A30"/>
    <w:rsid w:val="00123FC0"/>
    <w:rsid w:val="00124665"/>
    <w:rsid w:val="00124E12"/>
    <w:rsid w:val="0012673D"/>
    <w:rsid w:val="001269B8"/>
    <w:rsid w:val="00127099"/>
    <w:rsid w:val="00127B5C"/>
    <w:rsid w:val="00130783"/>
    <w:rsid w:val="00132B71"/>
    <w:rsid w:val="00133579"/>
    <w:rsid w:val="0013427A"/>
    <w:rsid w:val="001346D5"/>
    <w:rsid w:val="001362C2"/>
    <w:rsid w:val="00136955"/>
    <w:rsid w:val="00136E19"/>
    <w:rsid w:val="001371B2"/>
    <w:rsid w:val="00137381"/>
    <w:rsid w:val="00137873"/>
    <w:rsid w:val="00137930"/>
    <w:rsid w:val="00137D78"/>
    <w:rsid w:val="001409A0"/>
    <w:rsid w:val="00140B7C"/>
    <w:rsid w:val="0014126E"/>
    <w:rsid w:val="00141F08"/>
    <w:rsid w:val="00141FF2"/>
    <w:rsid w:val="0014287A"/>
    <w:rsid w:val="00142C6E"/>
    <w:rsid w:val="00142DE2"/>
    <w:rsid w:val="001437F5"/>
    <w:rsid w:val="00144C87"/>
    <w:rsid w:val="001467B1"/>
    <w:rsid w:val="00146DF0"/>
    <w:rsid w:val="00150175"/>
    <w:rsid w:val="001502C8"/>
    <w:rsid w:val="00150B49"/>
    <w:rsid w:val="0015130F"/>
    <w:rsid w:val="00153A0F"/>
    <w:rsid w:val="001540E4"/>
    <w:rsid w:val="00154DA4"/>
    <w:rsid w:val="00155464"/>
    <w:rsid w:val="00155BFD"/>
    <w:rsid w:val="00156A19"/>
    <w:rsid w:val="00156DC3"/>
    <w:rsid w:val="00157390"/>
    <w:rsid w:val="00160998"/>
    <w:rsid w:val="00160CD6"/>
    <w:rsid w:val="00161F86"/>
    <w:rsid w:val="0016316A"/>
    <w:rsid w:val="00163669"/>
    <w:rsid w:val="00163E1B"/>
    <w:rsid w:val="00164171"/>
    <w:rsid w:val="00164E58"/>
    <w:rsid w:val="00165033"/>
    <w:rsid w:val="00165B18"/>
    <w:rsid w:val="00166205"/>
    <w:rsid w:val="00166283"/>
    <w:rsid w:val="001670EA"/>
    <w:rsid w:val="001674A0"/>
    <w:rsid w:val="00170A50"/>
    <w:rsid w:val="00171F0C"/>
    <w:rsid w:val="00174FFD"/>
    <w:rsid w:val="001759CA"/>
    <w:rsid w:val="00176F1E"/>
    <w:rsid w:val="0017726A"/>
    <w:rsid w:val="00177D03"/>
    <w:rsid w:val="00177DD3"/>
    <w:rsid w:val="00180278"/>
    <w:rsid w:val="001810AF"/>
    <w:rsid w:val="00181296"/>
    <w:rsid w:val="001818A7"/>
    <w:rsid w:val="00181E86"/>
    <w:rsid w:val="00182177"/>
    <w:rsid w:val="00182725"/>
    <w:rsid w:val="001829C8"/>
    <w:rsid w:val="00182CA0"/>
    <w:rsid w:val="00184098"/>
    <w:rsid w:val="00184804"/>
    <w:rsid w:val="00184C82"/>
    <w:rsid w:val="00185774"/>
    <w:rsid w:val="00186904"/>
    <w:rsid w:val="00186B0A"/>
    <w:rsid w:val="00186C5C"/>
    <w:rsid w:val="001905BD"/>
    <w:rsid w:val="0019151B"/>
    <w:rsid w:val="00192FE6"/>
    <w:rsid w:val="00193986"/>
    <w:rsid w:val="00193B08"/>
    <w:rsid w:val="00194570"/>
    <w:rsid w:val="00195EC5"/>
    <w:rsid w:val="00196BF4"/>
    <w:rsid w:val="001972DA"/>
    <w:rsid w:val="001976AA"/>
    <w:rsid w:val="001A02F6"/>
    <w:rsid w:val="001A15C6"/>
    <w:rsid w:val="001A32B7"/>
    <w:rsid w:val="001A5E19"/>
    <w:rsid w:val="001B01FA"/>
    <w:rsid w:val="001B0832"/>
    <w:rsid w:val="001B0CB9"/>
    <w:rsid w:val="001B18A7"/>
    <w:rsid w:val="001B21C9"/>
    <w:rsid w:val="001B2762"/>
    <w:rsid w:val="001B3270"/>
    <w:rsid w:val="001B36FC"/>
    <w:rsid w:val="001B41ED"/>
    <w:rsid w:val="001B4607"/>
    <w:rsid w:val="001B480A"/>
    <w:rsid w:val="001B484B"/>
    <w:rsid w:val="001B69CA"/>
    <w:rsid w:val="001B7E0C"/>
    <w:rsid w:val="001C0586"/>
    <w:rsid w:val="001C0674"/>
    <w:rsid w:val="001C226F"/>
    <w:rsid w:val="001C299C"/>
    <w:rsid w:val="001C52F3"/>
    <w:rsid w:val="001C54B2"/>
    <w:rsid w:val="001C57B2"/>
    <w:rsid w:val="001C66AC"/>
    <w:rsid w:val="001C6754"/>
    <w:rsid w:val="001C77F0"/>
    <w:rsid w:val="001D04AA"/>
    <w:rsid w:val="001D2EF5"/>
    <w:rsid w:val="001D46A0"/>
    <w:rsid w:val="001D4E22"/>
    <w:rsid w:val="001D7CA4"/>
    <w:rsid w:val="001D7E58"/>
    <w:rsid w:val="001E0E1B"/>
    <w:rsid w:val="001E1CF8"/>
    <w:rsid w:val="001E2AAD"/>
    <w:rsid w:val="001E30A0"/>
    <w:rsid w:val="001E3F75"/>
    <w:rsid w:val="001E4331"/>
    <w:rsid w:val="001E4D4F"/>
    <w:rsid w:val="001E57CF"/>
    <w:rsid w:val="001E5981"/>
    <w:rsid w:val="001E62FD"/>
    <w:rsid w:val="001E7474"/>
    <w:rsid w:val="001E74BA"/>
    <w:rsid w:val="001E7587"/>
    <w:rsid w:val="001E7B9F"/>
    <w:rsid w:val="001F01FB"/>
    <w:rsid w:val="001F0658"/>
    <w:rsid w:val="001F0E92"/>
    <w:rsid w:val="001F1987"/>
    <w:rsid w:val="001F23BD"/>
    <w:rsid w:val="001F2430"/>
    <w:rsid w:val="001F28AA"/>
    <w:rsid w:val="001F2A5D"/>
    <w:rsid w:val="001F34DA"/>
    <w:rsid w:val="001F3596"/>
    <w:rsid w:val="001F4136"/>
    <w:rsid w:val="001F4DAC"/>
    <w:rsid w:val="001F5019"/>
    <w:rsid w:val="001F6483"/>
    <w:rsid w:val="001F650F"/>
    <w:rsid w:val="001F67AA"/>
    <w:rsid w:val="001F7599"/>
    <w:rsid w:val="00200E97"/>
    <w:rsid w:val="0020164C"/>
    <w:rsid w:val="0020189F"/>
    <w:rsid w:val="002025FC"/>
    <w:rsid w:val="00204B3A"/>
    <w:rsid w:val="0020535A"/>
    <w:rsid w:val="00205642"/>
    <w:rsid w:val="002061BC"/>
    <w:rsid w:val="00206955"/>
    <w:rsid w:val="00207860"/>
    <w:rsid w:val="00210309"/>
    <w:rsid w:val="00211DE3"/>
    <w:rsid w:val="00212FB8"/>
    <w:rsid w:val="00213709"/>
    <w:rsid w:val="00214400"/>
    <w:rsid w:val="002149AF"/>
    <w:rsid w:val="00214A86"/>
    <w:rsid w:val="00215AAA"/>
    <w:rsid w:val="0021683C"/>
    <w:rsid w:val="00216856"/>
    <w:rsid w:val="002201EA"/>
    <w:rsid w:val="00221985"/>
    <w:rsid w:val="00221EC5"/>
    <w:rsid w:val="00222A7A"/>
    <w:rsid w:val="002234D9"/>
    <w:rsid w:val="00224A2C"/>
    <w:rsid w:val="002256D9"/>
    <w:rsid w:val="00225882"/>
    <w:rsid w:val="00225FFF"/>
    <w:rsid w:val="0022687C"/>
    <w:rsid w:val="002269C0"/>
    <w:rsid w:val="00226FA5"/>
    <w:rsid w:val="002272DB"/>
    <w:rsid w:val="00227BDA"/>
    <w:rsid w:val="002306F8"/>
    <w:rsid w:val="002312F4"/>
    <w:rsid w:val="002313A2"/>
    <w:rsid w:val="00231531"/>
    <w:rsid w:val="00231606"/>
    <w:rsid w:val="00231FC7"/>
    <w:rsid w:val="0023284E"/>
    <w:rsid w:val="00232930"/>
    <w:rsid w:val="00232A95"/>
    <w:rsid w:val="00232DD9"/>
    <w:rsid w:val="00233403"/>
    <w:rsid w:val="00233440"/>
    <w:rsid w:val="00233D0E"/>
    <w:rsid w:val="0023487D"/>
    <w:rsid w:val="00235652"/>
    <w:rsid w:val="00236450"/>
    <w:rsid w:val="002364B6"/>
    <w:rsid w:val="0023765A"/>
    <w:rsid w:val="00237921"/>
    <w:rsid w:val="00241311"/>
    <w:rsid w:val="00241F82"/>
    <w:rsid w:val="00242E22"/>
    <w:rsid w:val="0024336B"/>
    <w:rsid w:val="0024424F"/>
    <w:rsid w:val="00244595"/>
    <w:rsid w:val="00244D28"/>
    <w:rsid w:val="00245720"/>
    <w:rsid w:val="002457B3"/>
    <w:rsid w:val="00245A6F"/>
    <w:rsid w:val="00245FD5"/>
    <w:rsid w:val="002465E4"/>
    <w:rsid w:val="002477DF"/>
    <w:rsid w:val="00250E05"/>
    <w:rsid w:val="00250E54"/>
    <w:rsid w:val="00251AD6"/>
    <w:rsid w:val="00252BBC"/>
    <w:rsid w:val="00252C17"/>
    <w:rsid w:val="0025307F"/>
    <w:rsid w:val="002551BD"/>
    <w:rsid w:val="00255F73"/>
    <w:rsid w:val="002568D0"/>
    <w:rsid w:val="00256B73"/>
    <w:rsid w:val="00262661"/>
    <w:rsid w:val="0026299C"/>
    <w:rsid w:val="002632DF"/>
    <w:rsid w:val="0026400A"/>
    <w:rsid w:val="002640BA"/>
    <w:rsid w:val="00264CF2"/>
    <w:rsid w:val="00266462"/>
    <w:rsid w:val="00267587"/>
    <w:rsid w:val="00270822"/>
    <w:rsid w:val="00271222"/>
    <w:rsid w:val="00271589"/>
    <w:rsid w:val="00271CF1"/>
    <w:rsid w:val="00273177"/>
    <w:rsid w:val="00275074"/>
    <w:rsid w:val="002758A4"/>
    <w:rsid w:val="002763E9"/>
    <w:rsid w:val="00276736"/>
    <w:rsid w:val="00282E93"/>
    <w:rsid w:val="00283ADD"/>
    <w:rsid w:val="00284C7E"/>
    <w:rsid w:val="00284E32"/>
    <w:rsid w:val="002851EB"/>
    <w:rsid w:val="00285510"/>
    <w:rsid w:val="00285DE2"/>
    <w:rsid w:val="0028616D"/>
    <w:rsid w:val="002865E2"/>
    <w:rsid w:val="00286965"/>
    <w:rsid w:val="002869D5"/>
    <w:rsid w:val="00286A88"/>
    <w:rsid w:val="00286AE7"/>
    <w:rsid w:val="002879CD"/>
    <w:rsid w:val="0029136E"/>
    <w:rsid w:val="00291D1B"/>
    <w:rsid w:val="00292399"/>
    <w:rsid w:val="0029294E"/>
    <w:rsid w:val="00293B8A"/>
    <w:rsid w:val="00293D90"/>
    <w:rsid w:val="00294445"/>
    <w:rsid w:val="00294B4D"/>
    <w:rsid w:val="00294E53"/>
    <w:rsid w:val="002960D5"/>
    <w:rsid w:val="00296371"/>
    <w:rsid w:val="00297CC6"/>
    <w:rsid w:val="002A1062"/>
    <w:rsid w:val="002A2012"/>
    <w:rsid w:val="002A2413"/>
    <w:rsid w:val="002A2F5E"/>
    <w:rsid w:val="002A352A"/>
    <w:rsid w:val="002A607D"/>
    <w:rsid w:val="002B06DE"/>
    <w:rsid w:val="002B0878"/>
    <w:rsid w:val="002B114B"/>
    <w:rsid w:val="002B132E"/>
    <w:rsid w:val="002B257E"/>
    <w:rsid w:val="002B2813"/>
    <w:rsid w:val="002B2D29"/>
    <w:rsid w:val="002B411D"/>
    <w:rsid w:val="002B5DA0"/>
    <w:rsid w:val="002B6786"/>
    <w:rsid w:val="002B7FD4"/>
    <w:rsid w:val="002C0C4B"/>
    <w:rsid w:val="002C1EEA"/>
    <w:rsid w:val="002C2600"/>
    <w:rsid w:val="002C47AD"/>
    <w:rsid w:val="002C6034"/>
    <w:rsid w:val="002C613E"/>
    <w:rsid w:val="002C635B"/>
    <w:rsid w:val="002C7CFF"/>
    <w:rsid w:val="002D067B"/>
    <w:rsid w:val="002D0BC6"/>
    <w:rsid w:val="002D119B"/>
    <w:rsid w:val="002D11F7"/>
    <w:rsid w:val="002D17C5"/>
    <w:rsid w:val="002D365F"/>
    <w:rsid w:val="002D406E"/>
    <w:rsid w:val="002D4127"/>
    <w:rsid w:val="002D6E49"/>
    <w:rsid w:val="002D7C86"/>
    <w:rsid w:val="002E0692"/>
    <w:rsid w:val="002E1D74"/>
    <w:rsid w:val="002E2943"/>
    <w:rsid w:val="002E2CF1"/>
    <w:rsid w:val="002E34AF"/>
    <w:rsid w:val="002E4279"/>
    <w:rsid w:val="002E4AAC"/>
    <w:rsid w:val="002E53DE"/>
    <w:rsid w:val="002E563B"/>
    <w:rsid w:val="002E62D2"/>
    <w:rsid w:val="002E74AF"/>
    <w:rsid w:val="002E758C"/>
    <w:rsid w:val="002E7784"/>
    <w:rsid w:val="002F048F"/>
    <w:rsid w:val="002F1038"/>
    <w:rsid w:val="002F1B80"/>
    <w:rsid w:val="002F1CDB"/>
    <w:rsid w:val="002F22FF"/>
    <w:rsid w:val="002F2CB7"/>
    <w:rsid w:val="002F2D8F"/>
    <w:rsid w:val="002F4CEA"/>
    <w:rsid w:val="002F695B"/>
    <w:rsid w:val="002F72DA"/>
    <w:rsid w:val="002F76B1"/>
    <w:rsid w:val="002F7CC8"/>
    <w:rsid w:val="002F7D66"/>
    <w:rsid w:val="002F7DBE"/>
    <w:rsid w:val="0030055E"/>
    <w:rsid w:val="0030090B"/>
    <w:rsid w:val="00300C1D"/>
    <w:rsid w:val="00302AE8"/>
    <w:rsid w:val="00302BB1"/>
    <w:rsid w:val="00303A23"/>
    <w:rsid w:val="00304210"/>
    <w:rsid w:val="003048D7"/>
    <w:rsid w:val="00304A1B"/>
    <w:rsid w:val="00304AD2"/>
    <w:rsid w:val="003062E6"/>
    <w:rsid w:val="003068B6"/>
    <w:rsid w:val="003071F6"/>
    <w:rsid w:val="0030747A"/>
    <w:rsid w:val="00307FE0"/>
    <w:rsid w:val="00310DA6"/>
    <w:rsid w:val="00311944"/>
    <w:rsid w:val="00311C08"/>
    <w:rsid w:val="00312567"/>
    <w:rsid w:val="00312ECE"/>
    <w:rsid w:val="00313510"/>
    <w:rsid w:val="0031393C"/>
    <w:rsid w:val="00313CB0"/>
    <w:rsid w:val="00313F96"/>
    <w:rsid w:val="003150CE"/>
    <w:rsid w:val="00315AAB"/>
    <w:rsid w:val="003160D1"/>
    <w:rsid w:val="003175E1"/>
    <w:rsid w:val="00317BD0"/>
    <w:rsid w:val="00320299"/>
    <w:rsid w:val="00321154"/>
    <w:rsid w:val="003211B0"/>
    <w:rsid w:val="00321EDA"/>
    <w:rsid w:val="0032235B"/>
    <w:rsid w:val="003224AA"/>
    <w:rsid w:val="003224E7"/>
    <w:rsid w:val="00323390"/>
    <w:rsid w:val="003254F7"/>
    <w:rsid w:val="00325D7A"/>
    <w:rsid w:val="00326145"/>
    <w:rsid w:val="00327163"/>
    <w:rsid w:val="00327305"/>
    <w:rsid w:val="00327531"/>
    <w:rsid w:val="00330187"/>
    <w:rsid w:val="003303B6"/>
    <w:rsid w:val="00331C77"/>
    <w:rsid w:val="00331DB6"/>
    <w:rsid w:val="00331F96"/>
    <w:rsid w:val="00332B55"/>
    <w:rsid w:val="00332CBC"/>
    <w:rsid w:val="00335EA8"/>
    <w:rsid w:val="003363DD"/>
    <w:rsid w:val="00336B9B"/>
    <w:rsid w:val="003376DA"/>
    <w:rsid w:val="00340361"/>
    <w:rsid w:val="00340795"/>
    <w:rsid w:val="0034111C"/>
    <w:rsid w:val="0034114A"/>
    <w:rsid w:val="00341E60"/>
    <w:rsid w:val="0034217F"/>
    <w:rsid w:val="00342AD2"/>
    <w:rsid w:val="00342DBB"/>
    <w:rsid w:val="00343954"/>
    <w:rsid w:val="00343D68"/>
    <w:rsid w:val="0034535E"/>
    <w:rsid w:val="00345405"/>
    <w:rsid w:val="00345DDD"/>
    <w:rsid w:val="00346C1C"/>
    <w:rsid w:val="00346FED"/>
    <w:rsid w:val="0035007F"/>
    <w:rsid w:val="003508C7"/>
    <w:rsid w:val="00351E01"/>
    <w:rsid w:val="00352D21"/>
    <w:rsid w:val="0035443D"/>
    <w:rsid w:val="00354FEE"/>
    <w:rsid w:val="003554FB"/>
    <w:rsid w:val="00356275"/>
    <w:rsid w:val="003569B7"/>
    <w:rsid w:val="00356B54"/>
    <w:rsid w:val="00356C0B"/>
    <w:rsid w:val="00357B9C"/>
    <w:rsid w:val="00361412"/>
    <w:rsid w:val="003615CA"/>
    <w:rsid w:val="00362E7F"/>
    <w:rsid w:val="003641D1"/>
    <w:rsid w:val="003642A6"/>
    <w:rsid w:val="00367337"/>
    <w:rsid w:val="00367367"/>
    <w:rsid w:val="00367DA6"/>
    <w:rsid w:val="00367FD8"/>
    <w:rsid w:val="00370B63"/>
    <w:rsid w:val="00370FCC"/>
    <w:rsid w:val="003711AF"/>
    <w:rsid w:val="00371EF8"/>
    <w:rsid w:val="00374848"/>
    <w:rsid w:val="00375D09"/>
    <w:rsid w:val="0037739D"/>
    <w:rsid w:val="0037751C"/>
    <w:rsid w:val="00380F3F"/>
    <w:rsid w:val="00382232"/>
    <w:rsid w:val="00382F1A"/>
    <w:rsid w:val="00383282"/>
    <w:rsid w:val="00383658"/>
    <w:rsid w:val="0038412E"/>
    <w:rsid w:val="00384968"/>
    <w:rsid w:val="00386053"/>
    <w:rsid w:val="0038771D"/>
    <w:rsid w:val="003908F5"/>
    <w:rsid w:val="00393E44"/>
    <w:rsid w:val="00394270"/>
    <w:rsid w:val="00397AB6"/>
    <w:rsid w:val="00397ACA"/>
    <w:rsid w:val="003A10C3"/>
    <w:rsid w:val="003A2F16"/>
    <w:rsid w:val="003A597F"/>
    <w:rsid w:val="003A598A"/>
    <w:rsid w:val="003A5EF6"/>
    <w:rsid w:val="003A71A8"/>
    <w:rsid w:val="003B00CA"/>
    <w:rsid w:val="003B030B"/>
    <w:rsid w:val="003B0432"/>
    <w:rsid w:val="003B0821"/>
    <w:rsid w:val="003B0BE9"/>
    <w:rsid w:val="003B0DAF"/>
    <w:rsid w:val="003B2898"/>
    <w:rsid w:val="003B2E9B"/>
    <w:rsid w:val="003B2F8D"/>
    <w:rsid w:val="003B4FAA"/>
    <w:rsid w:val="003B547A"/>
    <w:rsid w:val="003B5782"/>
    <w:rsid w:val="003B68C8"/>
    <w:rsid w:val="003B6C6C"/>
    <w:rsid w:val="003B6CB0"/>
    <w:rsid w:val="003B75B9"/>
    <w:rsid w:val="003B7F24"/>
    <w:rsid w:val="003C0DA2"/>
    <w:rsid w:val="003C1A18"/>
    <w:rsid w:val="003C2902"/>
    <w:rsid w:val="003C3261"/>
    <w:rsid w:val="003C43D2"/>
    <w:rsid w:val="003C5C41"/>
    <w:rsid w:val="003C7461"/>
    <w:rsid w:val="003D0788"/>
    <w:rsid w:val="003D11E7"/>
    <w:rsid w:val="003D132A"/>
    <w:rsid w:val="003D1517"/>
    <w:rsid w:val="003D1CEB"/>
    <w:rsid w:val="003D2938"/>
    <w:rsid w:val="003D2C75"/>
    <w:rsid w:val="003D2C93"/>
    <w:rsid w:val="003D3216"/>
    <w:rsid w:val="003D3607"/>
    <w:rsid w:val="003D3FBA"/>
    <w:rsid w:val="003D402B"/>
    <w:rsid w:val="003D5286"/>
    <w:rsid w:val="003D764F"/>
    <w:rsid w:val="003D7D81"/>
    <w:rsid w:val="003E0667"/>
    <w:rsid w:val="003E0BCE"/>
    <w:rsid w:val="003E13E0"/>
    <w:rsid w:val="003E1660"/>
    <w:rsid w:val="003E1C09"/>
    <w:rsid w:val="003E1CD1"/>
    <w:rsid w:val="003E1DC2"/>
    <w:rsid w:val="003E235E"/>
    <w:rsid w:val="003E2A2D"/>
    <w:rsid w:val="003E3497"/>
    <w:rsid w:val="003E521F"/>
    <w:rsid w:val="003E5606"/>
    <w:rsid w:val="003E64A9"/>
    <w:rsid w:val="003E67C1"/>
    <w:rsid w:val="003E7002"/>
    <w:rsid w:val="003E7905"/>
    <w:rsid w:val="003E7F61"/>
    <w:rsid w:val="003F0336"/>
    <w:rsid w:val="003F2147"/>
    <w:rsid w:val="003F3866"/>
    <w:rsid w:val="003F4488"/>
    <w:rsid w:val="003F5547"/>
    <w:rsid w:val="003F5C40"/>
    <w:rsid w:val="003F6E12"/>
    <w:rsid w:val="003F75ED"/>
    <w:rsid w:val="003F7F1B"/>
    <w:rsid w:val="004002B7"/>
    <w:rsid w:val="00400F31"/>
    <w:rsid w:val="0040154C"/>
    <w:rsid w:val="00401C44"/>
    <w:rsid w:val="00404844"/>
    <w:rsid w:val="00406B4D"/>
    <w:rsid w:val="00406D35"/>
    <w:rsid w:val="0041443C"/>
    <w:rsid w:val="004154F7"/>
    <w:rsid w:val="004164D8"/>
    <w:rsid w:val="00416D44"/>
    <w:rsid w:val="00416EB8"/>
    <w:rsid w:val="004172D6"/>
    <w:rsid w:val="004176FF"/>
    <w:rsid w:val="00421A27"/>
    <w:rsid w:val="00421D0A"/>
    <w:rsid w:val="004238B8"/>
    <w:rsid w:val="004241C5"/>
    <w:rsid w:val="004244AF"/>
    <w:rsid w:val="00424FA7"/>
    <w:rsid w:val="00425397"/>
    <w:rsid w:val="004255B5"/>
    <w:rsid w:val="00425D78"/>
    <w:rsid w:val="00425FC2"/>
    <w:rsid w:val="00426428"/>
    <w:rsid w:val="00426723"/>
    <w:rsid w:val="00426A87"/>
    <w:rsid w:val="004309D8"/>
    <w:rsid w:val="004313D1"/>
    <w:rsid w:val="00431FD5"/>
    <w:rsid w:val="00432110"/>
    <w:rsid w:val="00433EBE"/>
    <w:rsid w:val="00434406"/>
    <w:rsid w:val="00437A1D"/>
    <w:rsid w:val="00440FED"/>
    <w:rsid w:val="00441194"/>
    <w:rsid w:val="00441B0A"/>
    <w:rsid w:val="00441B92"/>
    <w:rsid w:val="00442607"/>
    <w:rsid w:val="00443EB9"/>
    <w:rsid w:val="0044474B"/>
    <w:rsid w:val="00445F09"/>
    <w:rsid w:val="00445FF7"/>
    <w:rsid w:val="00447088"/>
    <w:rsid w:val="00450575"/>
    <w:rsid w:val="00450B65"/>
    <w:rsid w:val="00453341"/>
    <w:rsid w:val="00453EF8"/>
    <w:rsid w:val="004545C6"/>
    <w:rsid w:val="00454DCA"/>
    <w:rsid w:val="00455A54"/>
    <w:rsid w:val="00456006"/>
    <w:rsid w:val="004561C0"/>
    <w:rsid w:val="00456544"/>
    <w:rsid w:val="00456649"/>
    <w:rsid w:val="004567B7"/>
    <w:rsid w:val="00456856"/>
    <w:rsid w:val="00456C0F"/>
    <w:rsid w:val="0045756D"/>
    <w:rsid w:val="00457810"/>
    <w:rsid w:val="0046061A"/>
    <w:rsid w:val="00461210"/>
    <w:rsid w:val="00462490"/>
    <w:rsid w:val="00462A0A"/>
    <w:rsid w:val="004645A5"/>
    <w:rsid w:val="00465299"/>
    <w:rsid w:val="00465C91"/>
    <w:rsid w:val="00466223"/>
    <w:rsid w:val="00466A0F"/>
    <w:rsid w:val="0046795B"/>
    <w:rsid w:val="00470341"/>
    <w:rsid w:val="004708C0"/>
    <w:rsid w:val="004715CB"/>
    <w:rsid w:val="00471863"/>
    <w:rsid w:val="004718EA"/>
    <w:rsid w:val="00471A2A"/>
    <w:rsid w:val="00473293"/>
    <w:rsid w:val="00473A14"/>
    <w:rsid w:val="00474CA8"/>
    <w:rsid w:val="00474E43"/>
    <w:rsid w:val="00475A4A"/>
    <w:rsid w:val="00475BD7"/>
    <w:rsid w:val="00476D4C"/>
    <w:rsid w:val="0048076D"/>
    <w:rsid w:val="00480F9C"/>
    <w:rsid w:val="004817DD"/>
    <w:rsid w:val="00481C24"/>
    <w:rsid w:val="00481D90"/>
    <w:rsid w:val="00482CD4"/>
    <w:rsid w:val="00483261"/>
    <w:rsid w:val="00484021"/>
    <w:rsid w:val="00485843"/>
    <w:rsid w:val="00485B23"/>
    <w:rsid w:val="0048630D"/>
    <w:rsid w:val="00486EC8"/>
    <w:rsid w:val="004874E4"/>
    <w:rsid w:val="0049070D"/>
    <w:rsid w:val="00490885"/>
    <w:rsid w:val="004909F0"/>
    <w:rsid w:val="004914A9"/>
    <w:rsid w:val="004916FC"/>
    <w:rsid w:val="00491A95"/>
    <w:rsid w:val="00491BE4"/>
    <w:rsid w:val="00491DB2"/>
    <w:rsid w:val="00492877"/>
    <w:rsid w:val="004928D9"/>
    <w:rsid w:val="00492B27"/>
    <w:rsid w:val="004936E8"/>
    <w:rsid w:val="00496DC2"/>
    <w:rsid w:val="00496E75"/>
    <w:rsid w:val="004A014C"/>
    <w:rsid w:val="004A0AA8"/>
    <w:rsid w:val="004A1FE4"/>
    <w:rsid w:val="004A2CA9"/>
    <w:rsid w:val="004A33EF"/>
    <w:rsid w:val="004A34C9"/>
    <w:rsid w:val="004A3CB5"/>
    <w:rsid w:val="004A441B"/>
    <w:rsid w:val="004A537D"/>
    <w:rsid w:val="004A67F0"/>
    <w:rsid w:val="004A6E18"/>
    <w:rsid w:val="004A6EE8"/>
    <w:rsid w:val="004A71C3"/>
    <w:rsid w:val="004A74D2"/>
    <w:rsid w:val="004A7769"/>
    <w:rsid w:val="004B0DCB"/>
    <w:rsid w:val="004B1484"/>
    <w:rsid w:val="004B18ED"/>
    <w:rsid w:val="004B23AD"/>
    <w:rsid w:val="004B24E5"/>
    <w:rsid w:val="004B2965"/>
    <w:rsid w:val="004B380A"/>
    <w:rsid w:val="004B4224"/>
    <w:rsid w:val="004B4309"/>
    <w:rsid w:val="004B4647"/>
    <w:rsid w:val="004B5E52"/>
    <w:rsid w:val="004B7455"/>
    <w:rsid w:val="004B74FF"/>
    <w:rsid w:val="004B7CE4"/>
    <w:rsid w:val="004C0401"/>
    <w:rsid w:val="004C0C49"/>
    <w:rsid w:val="004C183D"/>
    <w:rsid w:val="004C24A6"/>
    <w:rsid w:val="004C2669"/>
    <w:rsid w:val="004C3EC7"/>
    <w:rsid w:val="004C3EEE"/>
    <w:rsid w:val="004C40C9"/>
    <w:rsid w:val="004C44E8"/>
    <w:rsid w:val="004C483D"/>
    <w:rsid w:val="004C5BCC"/>
    <w:rsid w:val="004C6C7D"/>
    <w:rsid w:val="004C795A"/>
    <w:rsid w:val="004C7F93"/>
    <w:rsid w:val="004D0616"/>
    <w:rsid w:val="004D26B8"/>
    <w:rsid w:val="004D38C2"/>
    <w:rsid w:val="004D4259"/>
    <w:rsid w:val="004D4FBD"/>
    <w:rsid w:val="004D4FC0"/>
    <w:rsid w:val="004D6736"/>
    <w:rsid w:val="004D7556"/>
    <w:rsid w:val="004D7DA8"/>
    <w:rsid w:val="004E2892"/>
    <w:rsid w:val="004E3527"/>
    <w:rsid w:val="004E362B"/>
    <w:rsid w:val="004E3681"/>
    <w:rsid w:val="004E3D74"/>
    <w:rsid w:val="004E4414"/>
    <w:rsid w:val="004E4E87"/>
    <w:rsid w:val="004E784B"/>
    <w:rsid w:val="004E7ED0"/>
    <w:rsid w:val="004F0224"/>
    <w:rsid w:val="004F0DB4"/>
    <w:rsid w:val="004F0E04"/>
    <w:rsid w:val="004F10DB"/>
    <w:rsid w:val="004F1540"/>
    <w:rsid w:val="004F1EBC"/>
    <w:rsid w:val="004F20E8"/>
    <w:rsid w:val="004F2467"/>
    <w:rsid w:val="004F2DDD"/>
    <w:rsid w:val="004F3076"/>
    <w:rsid w:val="004F3B71"/>
    <w:rsid w:val="004F4B2F"/>
    <w:rsid w:val="004F5154"/>
    <w:rsid w:val="004F5835"/>
    <w:rsid w:val="004F661C"/>
    <w:rsid w:val="004F6D99"/>
    <w:rsid w:val="004F7070"/>
    <w:rsid w:val="004F7A96"/>
    <w:rsid w:val="004F7FF6"/>
    <w:rsid w:val="00500572"/>
    <w:rsid w:val="00501279"/>
    <w:rsid w:val="00501304"/>
    <w:rsid w:val="00501425"/>
    <w:rsid w:val="00502711"/>
    <w:rsid w:val="005036BE"/>
    <w:rsid w:val="0050409A"/>
    <w:rsid w:val="00504311"/>
    <w:rsid w:val="0050485C"/>
    <w:rsid w:val="00504AC6"/>
    <w:rsid w:val="00506131"/>
    <w:rsid w:val="005078AA"/>
    <w:rsid w:val="0051033E"/>
    <w:rsid w:val="00510C5E"/>
    <w:rsid w:val="00511079"/>
    <w:rsid w:val="00511CDF"/>
    <w:rsid w:val="00511DA3"/>
    <w:rsid w:val="0051221F"/>
    <w:rsid w:val="00512829"/>
    <w:rsid w:val="00513839"/>
    <w:rsid w:val="00513B29"/>
    <w:rsid w:val="00513DEF"/>
    <w:rsid w:val="00513F57"/>
    <w:rsid w:val="0051423C"/>
    <w:rsid w:val="00514C91"/>
    <w:rsid w:val="005153CE"/>
    <w:rsid w:val="005156EE"/>
    <w:rsid w:val="00516241"/>
    <w:rsid w:val="00516FD9"/>
    <w:rsid w:val="00517261"/>
    <w:rsid w:val="0051791D"/>
    <w:rsid w:val="00520D6D"/>
    <w:rsid w:val="00521C31"/>
    <w:rsid w:val="00523E75"/>
    <w:rsid w:val="005243E0"/>
    <w:rsid w:val="005256F3"/>
    <w:rsid w:val="00525F32"/>
    <w:rsid w:val="005265A3"/>
    <w:rsid w:val="00526783"/>
    <w:rsid w:val="0052721C"/>
    <w:rsid w:val="00527C99"/>
    <w:rsid w:val="00527FB1"/>
    <w:rsid w:val="005314C5"/>
    <w:rsid w:val="0053162F"/>
    <w:rsid w:val="00531777"/>
    <w:rsid w:val="0053281C"/>
    <w:rsid w:val="00533774"/>
    <w:rsid w:val="005340C9"/>
    <w:rsid w:val="0053449F"/>
    <w:rsid w:val="00535AF7"/>
    <w:rsid w:val="005369BB"/>
    <w:rsid w:val="005375FE"/>
    <w:rsid w:val="0054044B"/>
    <w:rsid w:val="005420DE"/>
    <w:rsid w:val="00542249"/>
    <w:rsid w:val="0054226C"/>
    <w:rsid w:val="005431F5"/>
    <w:rsid w:val="00543707"/>
    <w:rsid w:val="00543EBB"/>
    <w:rsid w:val="00544213"/>
    <w:rsid w:val="005453F3"/>
    <w:rsid w:val="00545549"/>
    <w:rsid w:val="005467DC"/>
    <w:rsid w:val="005469F5"/>
    <w:rsid w:val="00547495"/>
    <w:rsid w:val="00550751"/>
    <w:rsid w:val="005518ED"/>
    <w:rsid w:val="00552093"/>
    <w:rsid w:val="00553020"/>
    <w:rsid w:val="00554E4B"/>
    <w:rsid w:val="00555F67"/>
    <w:rsid w:val="00556605"/>
    <w:rsid w:val="0055723C"/>
    <w:rsid w:val="005606A4"/>
    <w:rsid w:val="005607B8"/>
    <w:rsid w:val="00560CF5"/>
    <w:rsid w:val="0056272D"/>
    <w:rsid w:val="00562BAB"/>
    <w:rsid w:val="0056308E"/>
    <w:rsid w:val="005638C1"/>
    <w:rsid w:val="0056415C"/>
    <w:rsid w:val="00564957"/>
    <w:rsid w:val="005649BF"/>
    <w:rsid w:val="00564EAF"/>
    <w:rsid w:val="005650ED"/>
    <w:rsid w:val="00565607"/>
    <w:rsid w:val="00565869"/>
    <w:rsid w:val="00567415"/>
    <w:rsid w:val="00567610"/>
    <w:rsid w:val="00570C3A"/>
    <w:rsid w:val="00570D9F"/>
    <w:rsid w:val="00571CA8"/>
    <w:rsid w:val="00574771"/>
    <w:rsid w:val="005758DF"/>
    <w:rsid w:val="00576135"/>
    <w:rsid w:val="00576A4A"/>
    <w:rsid w:val="00580793"/>
    <w:rsid w:val="0058137C"/>
    <w:rsid w:val="00581470"/>
    <w:rsid w:val="00581893"/>
    <w:rsid w:val="00582087"/>
    <w:rsid w:val="005831DD"/>
    <w:rsid w:val="00584320"/>
    <w:rsid w:val="0058436F"/>
    <w:rsid w:val="00584F84"/>
    <w:rsid w:val="00585484"/>
    <w:rsid w:val="00587229"/>
    <w:rsid w:val="00587503"/>
    <w:rsid w:val="005877C3"/>
    <w:rsid w:val="00587F7F"/>
    <w:rsid w:val="00590E8D"/>
    <w:rsid w:val="00591511"/>
    <w:rsid w:val="00591DA3"/>
    <w:rsid w:val="00592F00"/>
    <w:rsid w:val="0059331A"/>
    <w:rsid w:val="00596BBA"/>
    <w:rsid w:val="005972F8"/>
    <w:rsid w:val="005975C4"/>
    <w:rsid w:val="00597ED8"/>
    <w:rsid w:val="005A08F4"/>
    <w:rsid w:val="005A11D4"/>
    <w:rsid w:val="005A2D6D"/>
    <w:rsid w:val="005A34D5"/>
    <w:rsid w:val="005A3E12"/>
    <w:rsid w:val="005A423C"/>
    <w:rsid w:val="005A4904"/>
    <w:rsid w:val="005A4959"/>
    <w:rsid w:val="005A4BCC"/>
    <w:rsid w:val="005A515A"/>
    <w:rsid w:val="005A62CE"/>
    <w:rsid w:val="005A6BC4"/>
    <w:rsid w:val="005A704D"/>
    <w:rsid w:val="005B1DEE"/>
    <w:rsid w:val="005B1FF6"/>
    <w:rsid w:val="005B2B51"/>
    <w:rsid w:val="005B34D4"/>
    <w:rsid w:val="005B3C6D"/>
    <w:rsid w:val="005B4045"/>
    <w:rsid w:val="005B49A7"/>
    <w:rsid w:val="005B609E"/>
    <w:rsid w:val="005B6DF6"/>
    <w:rsid w:val="005B6EA6"/>
    <w:rsid w:val="005B780E"/>
    <w:rsid w:val="005B7B7D"/>
    <w:rsid w:val="005C0F71"/>
    <w:rsid w:val="005C1085"/>
    <w:rsid w:val="005C1948"/>
    <w:rsid w:val="005C245F"/>
    <w:rsid w:val="005C263C"/>
    <w:rsid w:val="005C2679"/>
    <w:rsid w:val="005C2ED4"/>
    <w:rsid w:val="005C41D4"/>
    <w:rsid w:val="005C4828"/>
    <w:rsid w:val="005D0079"/>
    <w:rsid w:val="005D01C9"/>
    <w:rsid w:val="005D059A"/>
    <w:rsid w:val="005D07C5"/>
    <w:rsid w:val="005D0B65"/>
    <w:rsid w:val="005D1FF8"/>
    <w:rsid w:val="005D3AB9"/>
    <w:rsid w:val="005D4302"/>
    <w:rsid w:val="005D430F"/>
    <w:rsid w:val="005D5A20"/>
    <w:rsid w:val="005D786C"/>
    <w:rsid w:val="005E00E5"/>
    <w:rsid w:val="005E049F"/>
    <w:rsid w:val="005E1AB8"/>
    <w:rsid w:val="005E3073"/>
    <w:rsid w:val="005E316A"/>
    <w:rsid w:val="005E5D4A"/>
    <w:rsid w:val="005E5E1A"/>
    <w:rsid w:val="005E6A8D"/>
    <w:rsid w:val="005E6C16"/>
    <w:rsid w:val="005F0108"/>
    <w:rsid w:val="005F0ECC"/>
    <w:rsid w:val="005F21A5"/>
    <w:rsid w:val="005F2470"/>
    <w:rsid w:val="005F278D"/>
    <w:rsid w:val="005F28C6"/>
    <w:rsid w:val="005F39AF"/>
    <w:rsid w:val="005F3F16"/>
    <w:rsid w:val="005F52CC"/>
    <w:rsid w:val="005F5E6F"/>
    <w:rsid w:val="005F6BD4"/>
    <w:rsid w:val="005F7985"/>
    <w:rsid w:val="0060004D"/>
    <w:rsid w:val="00600CEB"/>
    <w:rsid w:val="00601DF1"/>
    <w:rsid w:val="00602A84"/>
    <w:rsid w:val="00602AA1"/>
    <w:rsid w:val="00603131"/>
    <w:rsid w:val="00604367"/>
    <w:rsid w:val="006044BE"/>
    <w:rsid w:val="0060475F"/>
    <w:rsid w:val="00604E80"/>
    <w:rsid w:val="006060C2"/>
    <w:rsid w:val="00606A26"/>
    <w:rsid w:val="00607D81"/>
    <w:rsid w:val="00610747"/>
    <w:rsid w:val="00610E03"/>
    <w:rsid w:val="00610E35"/>
    <w:rsid w:val="0061176E"/>
    <w:rsid w:val="006131CB"/>
    <w:rsid w:val="0061417F"/>
    <w:rsid w:val="00614CD1"/>
    <w:rsid w:val="0061567B"/>
    <w:rsid w:val="00615BEA"/>
    <w:rsid w:val="0061705C"/>
    <w:rsid w:val="0062152A"/>
    <w:rsid w:val="00621E3C"/>
    <w:rsid w:val="00622BD2"/>
    <w:rsid w:val="00622FCB"/>
    <w:rsid w:val="00623583"/>
    <w:rsid w:val="00623DBC"/>
    <w:rsid w:val="00624049"/>
    <w:rsid w:val="0062462F"/>
    <w:rsid w:val="00624BA1"/>
    <w:rsid w:val="0062661B"/>
    <w:rsid w:val="0062796B"/>
    <w:rsid w:val="00630118"/>
    <w:rsid w:val="006310AE"/>
    <w:rsid w:val="00631762"/>
    <w:rsid w:val="00632196"/>
    <w:rsid w:val="006322D1"/>
    <w:rsid w:val="00633BF2"/>
    <w:rsid w:val="00633F67"/>
    <w:rsid w:val="006345C3"/>
    <w:rsid w:val="00636048"/>
    <w:rsid w:val="006362F9"/>
    <w:rsid w:val="006369A9"/>
    <w:rsid w:val="006373CD"/>
    <w:rsid w:val="006403AC"/>
    <w:rsid w:val="00640672"/>
    <w:rsid w:val="0064165D"/>
    <w:rsid w:val="006433BD"/>
    <w:rsid w:val="00643784"/>
    <w:rsid w:val="00643E7C"/>
    <w:rsid w:val="00644186"/>
    <w:rsid w:val="00644A21"/>
    <w:rsid w:val="00644B4F"/>
    <w:rsid w:val="00644D21"/>
    <w:rsid w:val="00644DB3"/>
    <w:rsid w:val="00645C9F"/>
    <w:rsid w:val="00646305"/>
    <w:rsid w:val="00646A6C"/>
    <w:rsid w:val="006475E6"/>
    <w:rsid w:val="006508B9"/>
    <w:rsid w:val="00650CA1"/>
    <w:rsid w:val="00651854"/>
    <w:rsid w:val="006519F8"/>
    <w:rsid w:val="00653809"/>
    <w:rsid w:val="006539E8"/>
    <w:rsid w:val="00655E51"/>
    <w:rsid w:val="00656306"/>
    <w:rsid w:val="006565D8"/>
    <w:rsid w:val="00656649"/>
    <w:rsid w:val="00656B96"/>
    <w:rsid w:val="00656CF4"/>
    <w:rsid w:val="00656ED9"/>
    <w:rsid w:val="0065736B"/>
    <w:rsid w:val="00657AE5"/>
    <w:rsid w:val="00657C5F"/>
    <w:rsid w:val="006619B0"/>
    <w:rsid w:val="00662012"/>
    <w:rsid w:val="00662543"/>
    <w:rsid w:val="006626D0"/>
    <w:rsid w:val="00663BF2"/>
    <w:rsid w:val="00663EAE"/>
    <w:rsid w:val="00664E8C"/>
    <w:rsid w:val="00665138"/>
    <w:rsid w:val="0066528A"/>
    <w:rsid w:val="00665F7C"/>
    <w:rsid w:val="0066699A"/>
    <w:rsid w:val="00666DFC"/>
    <w:rsid w:val="00666EBB"/>
    <w:rsid w:val="00667385"/>
    <w:rsid w:val="0066779E"/>
    <w:rsid w:val="00670DE2"/>
    <w:rsid w:val="00671D60"/>
    <w:rsid w:val="0067269D"/>
    <w:rsid w:val="00672988"/>
    <w:rsid w:val="00672C64"/>
    <w:rsid w:val="0067499F"/>
    <w:rsid w:val="00674E6A"/>
    <w:rsid w:val="00676A64"/>
    <w:rsid w:val="00676ACE"/>
    <w:rsid w:val="00677925"/>
    <w:rsid w:val="00677A6E"/>
    <w:rsid w:val="0068043E"/>
    <w:rsid w:val="00680F46"/>
    <w:rsid w:val="00681FDC"/>
    <w:rsid w:val="006824B4"/>
    <w:rsid w:val="006829E8"/>
    <w:rsid w:val="00682B53"/>
    <w:rsid w:val="00682F27"/>
    <w:rsid w:val="006839E6"/>
    <w:rsid w:val="00683F93"/>
    <w:rsid w:val="00685061"/>
    <w:rsid w:val="0069011A"/>
    <w:rsid w:val="00690E2E"/>
    <w:rsid w:val="006915D7"/>
    <w:rsid w:val="006927AC"/>
    <w:rsid w:val="00692814"/>
    <w:rsid w:val="006932E7"/>
    <w:rsid w:val="00693347"/>
    <w:rsid w:val="0069334C"/>
    <w:rsid w:val="00696D63"/>
    <w:rsid w:val="006A032F"/>
    <w:rsid w:val="006A41AE"/>
    <w:rsid w:val="006A4856"/>
    <w:rsid w:val="006A564B"/>
    <w:rsid w:val="006A7546"/>
    <w:rsid w:val="006A757C"/>
    <w:rsid w:val="006B08CF"/>
    <w:rsid w:val="006B0B29"/>
    <w:rsid w:val="006B0B90"/>
    <w:rsid w:val="006B10EA"/>
    <w:rsid w:val="006B1470"/>
    <w:rsid w:val="006B1545"/>
    <w:rsid w:val="006B16E5"/>
    <w:rsid w:val="006B2DA7"/>
    <w:rsid w:val="006B2F4D"/>
    <w:rsid w:val="006B3682"/>
    <w:rsid w:val="006B48CB"/>
    <w:rsid w:val="006B576F"/>
    <w:rsid w:val="006B5D9E"/>
    <w:rsid w:val="006B5EC9"/>
    <w:rsid w:val="006B6AE9"/>
    <w:rsid w:val="006C0823"/>
    <w:rsid w:val="006C08C5"/>
    <w:rsid w:val="006C11DD"/>
    <w:rsid w:val="006C1445"/>
    <w:rsid w:val="006C17A2"/>
    <w:rsid w:val="006C2A21"/>
    <w:rsid w:val="006C304F"/>
    <w:rsid w:val="006C3380"/>
    <w:rsid w:val="006C3959"/>
    <w:rsid w:val="006C3B36"/>
    <w:rsid w:val="006C43E6"/>
    <w:rsid w:val="006C4FC1"/>
    <w:rsid w:val="006C51A5"/>
    <w:rsid w:val="006C529D"/>
    <w:rsid w:val="006C7CC9"/>
    <w:rsid w:val="006C7D45"/>
    <w:rsid w:val="006D0E6B"/>
    <w:rsid w:val="006D1073"/>
    <w:rsid w:val="006D2146"/>
    <w:rsid w:val="006D3F01"/>
    <w:rsid w:val="006D632E"/>
    <w:rsid w:val="006E01FF"/>
    <w:rsid w:val="006E094A"/>
    <w:rsid w:val="006E12B1"/>
    <w:rsid w:val="006E13D1"/>
    <w:rsid w:val="006E283E"/>
    <w:rsid w:val="006E4235"/>
    <w:rsid w:val="006E4D0C"/>
    <w:rsid w:val="006E4D1B"/>
    <w:rsid w:val="006E509A"/>
    <w:rsid w:val="006E5B78"/>
    <w:rsid w:val="006E6BA3"/>
    <w:rsid w:val="006F01EB"/>
    <w:rsid w:val="006F0D1F"/>
    <w:rsid w:val="006F1116"/>
    <w:rsid w:val="006F1206"/>
    <w:rsid w:val="006F3196"/>
    <w:rsid w:val="006F3489"/>
    <w:rsid w:val="006F3C54"/>
    <w:rsid w:val="006F4ACC"/>
    <w:rsid w:val="006F4F99"/>
    <w:rsid w:val="006F5E64"/>
    <w:rsid w:val="006F60DE"/>
    <w:rsid w:val="006F625F"/>
    <w:rsid w:val="006F6BBD"/>
    <w:rsid w:val="006F7914"/>
    <w:rsid w:val="006F7B8B"/>
    <w:rsid w:val="006F7E46"/>
    <w:rsid w:val="007002E4"/>
    <w:rsid w:val="00700AB4"/>
    <w:rsid w:val="00700FCA"/>
    <w:rsid w:val="00701645"/>
    <w:rsid w:val="00701BF2"/>
    <w:rsid w:val="00702579"/>
    <w:rsid w:val="00702D5A"/>
    <w:rsid w:val="00702EF7"/>
    <w:rsid w:val="00703989"/>
    <w:rsid w:val="007042E9"/>
    <w:rsid w:val="00705592"/>
    <w:rsid w:val="0071118B"/>
    <w:rsid w:val="007115D2"/>
    <w:rsid w:val="00711E13"/>
    <w:rsid w:val="00712EDA"/>
    <w:rsid w:val="007136D0"/>
    <w:rsid w:val="0071528E"/>
    <w:rsid w:val="007155A9"/>
    <w:rsid w:val="007158E1"/>
    <w:rsid w:val="0071705B"/>
    <w:rsid w:val="0071740A"/>
    <w:rsid w:val="00717EBE"/>
    <w:rsid w:val="00720505"/>
    <w:rsid w:val="007236A3"/>
    <w:rsid w:val="007239B6"/>
    <w:rsid w:val="0072490A"/>
    <w:rsid w:val="0072517D"/>
    <w:rsid w:val="0072540C"/>
    <w:rsid w:val="00726878"/>
    <w:rsid w:val="00727C98"/>
    <w:rsid w:val="00730D02"/>
    <w:rsid w:val="0073124A"/>
    <w:rsid w:val="007316BD"/>
    <w:rsid w:val="007317FF"/>
    <w:rsid w:val="00731B79"/>
    <w:rsid w:val="00733893"/>
    <w:rsid w:val="00734A05"/>
    <w:rsid w:val="00735C6F"/>
    <w:rsid w:val="00735F4F"/>
    <w:rsid w:val="007366CF"/>
    <w:rsid w:val="00736EC4"/>
    <w:rsid w:val="007408D5"/>
    <w:rsid w:val="00741711"/>
    <w:rsid w:val="00741A21"/>
    <w:rsid w:val="00741C59"/>
    <w:rsid w:val="00742422"/>
    <w:rsid w:val="00742B44"/>
    <w:rsid w:val="00745540"/>
    <w:rsid w:val="00745D88"/>
    <w:rsid w:val="0074655A"/>
    <w:rsid w:val="007469B7"/>
    <w:rsid w:val="00747115"/>
    <w:rsid w:val="00753BB5"/>
    <w:rsid w:val="007547B2"/>
    <w:rsid w:val="00755DB8"/>
    <w:rsid w:val="0075660B"/>
    <w:rsid w:val="00756832"/>
    <w:rsid w:val="0076266E"/>
    <w:rsid w:val="007626D0"/>
    <w:rsid w:val="007651CA"/>
    <w:rsid w:val="007671DF"/>
    <w:rsid w:val="00767519"/>
    <w:rsid w:val="00767EE3"/>
    <w:rsid w:val="007704E1"/>
    <w:rsid w:val="00771015"/>
    <w:rsid w:val="007719F8"/>
    <w:rsid w:val="00772569"/>
    <w:rsid w:val="00772BF0"/>
    <w:rsid w:val="00772E8C"/>
    <w:rsid w:val="007730D8"/>
    <w:rsid w:val="007736D3"/>
    <w:rsid w:val="00773889"/>
    <w:rsid w:val="00773B54"/>
    <w:rsid w:val="00774502"/>
    <w:rsid w:val="0077500F"/>
    <w:rsid w:val="0077548E"/>
    <w:rsid w:val="00776388"/>
    <w:rsid w:val="00777315"/>
    <w:rsid w:val="0077767A"/>
    <w:rsid w:val="007802E4"/>
    <w:rsid w:val="00780919"/>
    <w:rsid w:val="007826C8"/>
    <w:rsid w:val="00782972"/>
    <w:rsid w:val="00784190"/>
    <w:rsid w:val="0078457B"/>
    <w:rsid w:val="00784756"/>
    <w:rsid w:val="0078539D"/>
    <w:rsid w:val="007856C1"/>
    <w:rsid w:val="00786CC4"/>
    <w:rsid w:val="00787051"/>
    <w:rsid w:val="0079018D"/>
    <w:rsid w:val="00791A00"/>
    <w:rsid w:val="00791BF8"/>
    <w:rsid w:val="00791DBA"/>
    <w:rsid w:val="007928C1"/>
    <w:rsid w:val="00792CEE"/>
    <w:rsid w:val="00794C56"/>
    <w:rsid w:val="00794E92"/>
    <w:rsid w:val="0079656A"/>
    <w:rsid w:val="00796971"/>
    <w:rsid w:val="00796D86"/>
    <w:rsid w:val="00796F15"/>
    <w:rsid w:val="007A138F"/>
    <w:rsid w:val="007A1640"/>
    <w:rsid w:val="007A18BA"/>
    <w:rsid w:val="007A2559"/>
    <w:rsid w:val="007A36A9"/>
    <w:rsid w:val="007A39DF"/>
    <w:rsid w:val="007A43EC"/>
    <w:rsid w:val="007A43ED"/>
    <w:rsid w:val="007A4997"/>
    <w:rsid w:val="007A4BDD"/>
    <w:rsid w:val="007A4C98"/>
    <w:rsid w:val="007A533E"/>
    <w:rsid w:val="007A5677"/>
    <w:rsid w:val="007A633B"/>
    <w:rsid w:val="007A72EE"/>
    <w:rsid w:val="007B0352"/>
    <w:rsid w:val="007B0397"/>
    <w:rsid w:val="007B2899"/>
    <w:rsid w:val="007B3502"/>
    <w:rsid w:val="007B44ED"/>
    <w:rsid w:val="007B491A"/>
    <w:rsid w:val="007B4E9F"/>
    <w:rsid w:val="007B5370"/>
    <w:rsid w:val="007B61F5"/>
    <w:rsid w:val="007B6335"/>
    <w:rsid w:val="007B63FA"/>
    <w:rsid w:val="007B6C8F"/>
    <w:rsid w:val="007B73B3"/>
    <w:rsid w:val="007B7496"/>
    <w:rsid w:val="007B7AF5"/>
    <w:rsid w:val="007C0802"/>
    <w:rsid w:val="007C12BE"/>
    <w:rsid w:val="007C1B2E"/>
    <w:rsid w:val="007C2739"/>
    <w:rsid w:val="007C4B0F"/>
    <w:rsid w:val="007C4DAD"/>
    <w:rsid w:val="007C4E9F"/>
    <w:rsid w:val="007C501D"/>
    <w:rsid w:val="007C50F9"/>
    <w:rsid w:val="007C5830"/>
    <w:rsid w:val="007C5DB8"/>
    <w:rsid w:val="007C6CA2"/>
    <w:rsid w:val="007D05B2"/>
    <w:rsid w:val="007D0C44"/>
    <w:rsid w:val="007D1972"/>
    <w:rsid w:val="007D1F33"/>
    <w:rsid w:val="007D2146"/>
    <w:rsid w:val="007D24BF"/>
    <w:rsid w:val="007D3307"/>
    <w:rsid w:val="007D33DA"/>
    <w:rsid w:val="007D432A"/>
    <w:rsid w:val="007D5E27"/>
    <w:rsid w:val="007D6F64"/>
    <w:rsid w:val="007D76F0"/>
    <w:rsid w:val="007E25AB"/>
    <w:rsid w:val="007E2C70"/>
    <w:rsid w:val="007E331D"/>
    <w:rsid w:val="007E3C7B"/>
    <w:rsid w:val="007E40A2"/>
    <w:rsid w:val="007E5A7A"/>
    <w:rsid w:val="007E5AC2"/>
    <w:rsid w:val="007E5E92"/>
    <w:rsid w:val="007E6999"/>
    <w:rsid w:val="007E79C5"/>
    <w:rsid w:val="007F0036"/>
    <w:rsid w:val="007F0CDC"/>
    <w:rsid w:val="007F143A"/>
    <w:rsid w:val="007F2845"/>
    <w:rsid w:val="007F2884"/>
    <w:rsid w:val="007F41A0"/>
    <w:rsid w:val="007F43BC"/>
    <w:rsid w:val="007F44D7"/>
    <w:rsid w:val="007F4740"/>
    <w:rsid w:val="007F5CEB"/>
    <w:rsid w:val="007F6E72"/>
    <w:rsid w:val="00800229"/>
    <w:rsid w:val="008006C6"/>
    <w:rsid w:val="00800C52"/>
    <w:rsid w:val="00800DC4"/>
    <w:rsid w:val="0080153E"/>
    <w:rsid w:val="008040B7"/>
    <w:rsid w:val="00805C34"/>
    <w:rsid w:val="008066DF"/>
    <w:rsid w:val="0080742D"/>
    <w:rsid w:val="00807589"/>
    <w:rsid w:val="008100AC"/>
    <w:rsid w:val="0081151E"/>
    <w:rsid w:val="00812498"/>
    <w:rsid w:val="0081263E"/>
    <w:rsid w:val="008127E6"/>
    <w:rsid w:val="0081336E"/>
    <w:rsid w:val="00813928"/>
    <w:rsid w:val="00814057"/>
    <w:rsid w:val="00820DC7"/>
    <w:rsid w:val="00820FFB"/>
    <w:rsid w:val="00821698"/>
    <w:rsid w:val="008221FE"/>
    <w:rsid w:val="00822BF5"/>
    <w:rsid w:val="00824894"/>
    <w:rsid w:val="00824F51"/>
    <w:rsid w:val="00825366"/>
    <w:rsid w:val="00826C7B"/>
    <w:rsid w:val="00826DD9"/>
    <w:rsid w:val="00826E01"/>
    <w:rsid w:val="00826E08"/>
    <w:rsid w:val="008277A8"/>
    <w:rsid w:val="008278B6"/>
    <w:rsid w:val="008307ED"/>
    <w:rsid w:val="00832918"/>
    <w:rsid w:val="0083350F"/>
    <w:rsid w:val="00834358"/>
    <w:rsid w:val="008346BD"/>
    <w:rsid w:val="008357B1"/>
    <w:rsid w:val="00835FB4"/>
    <w:rsid w:val="00836843"/>
    <w:rsid w:val="00836B7A"/>
    <w:rsid w:val="008409AA"/>
    <w:rsid w:val="00840FB8"/>
    <w:rsid w:val="00842529"/>
    <w:rsid w:val="00843316"/>
    <w:rsid w:val="0084353E"/>
    <w:rsid w:val="00843A7A"/>
    <w:rsid w:val="008447F5"/>
    <w:rsid w:val="0084499F"/>
    <w:rsid w:val="00846292"/>
    <w:rsid w:val="00847885"/>
    <w:rsid w:val="00850413"/>
    <w:rsid w:val="008506E1"/>
    <w:rsid w:val="008515EE"/>
    <w:rsid w:val="008517E9"/>
    <w:rsid w:val="00852758"/>
    <w:rsid w:val="008528D3"/>
    <w:rsid w:val="00853C8B"/>
    <w:rsid w:val="00854553"/>
    <w:rsid w:val="00855B86"/>
    <w:rsid w:val="00855D71"/>
    <w:rsid w:val="008565F1"/>
    <w:rsid w:val="00857774"/>
    <w:rsid w:val="0086042D"/>
    <w:rsid w:val="00860874"/>
    <w:rsid w:val="00862008"/>
    <w:rsid w:val="00862720"/>
    <w:rsid w:val="008628C8"/>
    <w:rsid w:val="00862AC5"/>
    <w:rsid w:val="00862B2A"/>
    <w:rsid w:val="008630B9"/>
    <w:rsid w:val="00863F37"/>
    <w:rsid w:val="0086406B"/>
    <w:rsid w:val="008643CF"/>
    <w:rsid w:val="00864C8C"/>
    <w:rsid w:val="00865264"/>
    <w:rsid w:val="00866A11"/>
    <w:rsid w:val="00867651"/>
    <w:rsid w:val="00870D04"/>
    <w:rsid w:val="0087121B"/>
    <w:rsid w:val="008714B6"/>
    <w:rsid w:val="008714DB"/>
    <w:rsid w:val="008724FA"/>
    <w:rsid w:val="008743F3"/>
    <w:rsid w:val="0087444A"/>
    <w:rsid w:val="00875139"/>
    <w:rsid w:val="00875410"/>
    <w:rsid w:val="00875659"/>
    <w:rsid w:val="00877C2D"/>
    <w:rsid w:val="008808D5"/>
    <w:rsid w:val="00880EDF"/>
    <w:rsid w:val="00881B9F"/>
    <w:rsid w:val="00881D4F"/>
    <w:rsid w:val="008828D6"/>
    <w:rsid w:val="00882DE6"/>
    <w:rsid w:val="00883D4D"/>
    <w:rsid w:val="0088444E"/>
    <w:rsid w:val="0088448E"/>
    <w:rsid w:val="00884B59"/>
    <w:rsid w:val="008850BA"/>
    <w:rsid w:val="008857F2"/>
    <w:rsid w:val="0088583D"/>
    <w:rsid w:val="00885876"/>
    <w:rsid w:val="00886185"/>
    <w:rsid w:val="008861D9"/>
    <w:rsid w:val="0088638C"/>
    <w:rsid w:val="00886522"/>
    <w:rsid w:val="00886EDF"/>
    <w:rsid w:val="008872B9"/>
    <w:rsid w:val="00887CEE"/>
    <w:rsid w:val="008908E5"/>
    <w:rsid w:val="00891216"/>
    <w:rsid w:val="00891F81"/>
    <w:rsid w:val="00894DF2"/>
    <w:rsid w:val="00894FDC"/>
    <w:rsid w:val="008956E9"/>
    <w:rsid w:val="00895EFC"/>
    <w:rsid w:val="008960BE"/>
    <w:rsid w:val="008A1094"/>
    <w:rsid w:val="008A16F9"/>
    <w:rsid w:val="008A1D3E"/>
    <w:rsid w:val="008A4B16"/>
    <w:rsid w:val="008A4D63"/>
    <w:rsid w:val="008A52D1"/>
    <w:rsid w:val="008A5EAC"/>
    <w:rsid w:val="008A6D62"/>
    <w:rsid w:val="008B13E9"/>
    <w:rsid w:val="008B307C"/>
    <w:rsid w:val="008B3807"/>
    <w:rsid w:val="008B3B51"/>
    <w:rsid w:val="008B4057"/>
    <w:rsid w:val="008B40E6"/>
    <w:rsid w:val="008B4145"/>
    <w:rsid w:val="008B4CAC"/>
    <w:rsid w:val="008B5290"/>
    <w:rsid w:val="008B68D1"/>
    <w:rsid w:val="008B696A"/>
    <w:rsid w:val="008B6C00"/>
    <w:rsid w:val="008C2B64"/>
    <w:rsid w:val="008C2CFD"/>
    <w:rsid w:val="008C3E9C"/>
    <w:rsid w:val="008C57D6"/>
    <w:rsid w:val="008C5BB1"/>
    <w:rsid w:val="008C603A"/>
    <w:rsid w:val="008C71C8"/>
    <w:rsid w:val="008D167D"/>
    <w:rsid w:val="008D261F"/>
    <w:rsid w:val="008D2B53"/>
    <w:rsid w:val="008D3640"/>
    <w:rsid w:val="008D492A"/>
    <w:rsid w:val="008D4B58"/>
    <w:rsid w:val="008D4B8A"/>
    <w:rsid w:val="008D6541"/>
    <w:rsid w:val="008D7D7B"/>
    <w:rsid w:val="008E0F52"/>
    <w:rsid w:val="008E17C1"/>
    <w:rsid w:val="008E183F"/>
    <w:rsid w:val="008E2316"/>
    <w:rsid w:val="008E26FF"/>
    <w:rsid w:val="008E34BE"/>
    <w:rsid w:val="008E3A88"/>
    <w:rsid w:val="008E42F4"/>
    <w:rsid w:val="008E475A"/>
    <w:rsid w:val="008E49AA"/>
    <w:rsid w:val="008E5307"/>
    <w:rsid w:val="008E5657"/>
    <w:rsid w:val="008E5E51"/>
    <w:rsid w:val="008E6163"/>
    <w:rsid w:val="008E721F"/>
    <w:rsid w:val="008E7D63"/>
    <w:rsid w:val="008F00DB"/>
    <w:rsid w:val="008F08E3"/>
    <w:rsid w:val="008F110E"/>
    <w:rsid w:val="008F1264"/>
    <w:rsid w:val="008F47C6"/>
    <w:rsid w:val="008F5948"/>
    <w:rsid w:val="008F7F99"/>
    <w:rsid w:val="009006A2"/>
    <w:rsid w:val="009007A5"/>
    <w:rsid w:val="0090102B"/>
    <w:rsid w:val="00901448"/>
    <w:rsid w:val="00901CBE"/>
    <w:rsid w:val="00901E29"/>
    <w:rsid w:val="009036BC"/>
    <w:rsid w:val="0090425F"/>
    <w:rsid w:val="00905C47"/>
    <w:rsid w:val="00906379"/>
    <w:rsid w:val="0090638B"/>
    <w:rsid w:val="00906393"/>
    <w:rsid w:val="00907EBE"/>
    <w:rsid w:val="009101EA"/>
    <w:rsid w:val="009106FC"/>
    <w:rsid w:val="0091090F"/>
    <w:rsid w:val="00911896"/>
    <w:rsid w:val="009118BB"/>
    <w:rsid w:val="0091191F"/>
    <w:rsid w:val="009121C8"/>
    <w:rsid w:val="00913B0A"/>
    <w:rsid w:val="00913F7F"/>
    <w:rsid w:val="00915B81"/>
    <w:rsid w:val="00915D6B"/>
    <w:rsid w:val="009160DF"/>
    <w:rsid w:val="009162C7"/>
    <w:rsid w:val="00916EC2"/>
    <w:rsid w:val="009213BD"/>
    <w:rsid w:val="00921786"/>
    <w:rsid w:val="00924627"/>
    <w:rsid w:val="009249EB"/>
    <w:rsid w:val="00924A44"/>
    <w:rsid w:val="009250A8"/>
    <w:rsid w:val="009251C8"/>
    <w:rsid w:val="00925BE6"/>
    <w:rsid w:val="00926F61"/>
    <w:rsid w:val="009277A2"/>
    <w:rsid w:val="00930879"/>
    <w:rsid w:val="0093123D"/>
    <w:rsid w:val="00933040"/>
    <w:rsid w:val="009330E9"/>
    <w:rsid w:val="00935D15"/>
    <w:rsid w:val="00940722"/>
    <w:rsid w:val="009411FB"/>
    <w:rsid w:val="009414A9"/>
    <w:rsid w:val="00941B71"/>
    <w:rsid w:val="009421AD"/>
    <w:rsid w:val="0094221C"/>
    <w:rsid w:val="009422A9"/>
    <w:rsid w:val="0094262D"/>
    <w:rsid w:val="0094409C"/>
    <w:rsid w:val="00944159"/>
    <w:rsid w:val="009444D9"/>
    <w:rsid w:val="009449B2"/>
    <w:rsid w:val="00944A82"/>
    <w:rsid w:val="0094601F"/>
    <w:rsid w:val="00946C4D"/>
    <w:rsid w:val="00950387"/>
    <w:rsid w:val="009507F6"/>
    <w:rsid w:val="0095285B"/>
    <w:rsid w:val="00953099"/>
    <w:rsid w:val="009532B5"/>
    <w:rsid w:val="00953FE9"/>
    <w:rsid w:val="009544CF"/>
    <w:rsid w:val="0095481C"/>
    <w:rsid w:val="00954E01"/>
    <w:rsid w:val="0095564D"/>
    <w:rsid w:val="0095569E"/>
    <w:rsid w:val="009567E6"/>
    <w:rsid w:val="00957076"/>
    <w:rsid w:val="00957132"/>
    <w:rsid w:val="009576FD"/>
    <w:rsid w:val="009578EB"/>
    <w:rsid w:val="009578FF"/>
    <w:rsid w:val="00960446"/>
    <w:rsid w:val="009610ED"/>
    <w:rsid w:val="00961DDB"/>
    <w:rsid w:val="00963085"/>
    <w:rsid w:val="009633BB"/>
    <w:rsid w:val="009633FF"/>
    <w:rsid w:val="0096485F"/>
    <w:rsid w:val="00966B46"/>
    <w:rsid w:val="0096726D"/>
    <w:rsid w:val="00967354"/>
    <w:rsid w:val="00970292"/>
    <w:rsid w:val="00971592"/>
    <w:rsid w:val="00971DDF"/>
    <w:rsid w:val="009731D6"/>
    <w:rsid w:val="009734C7"/>
    <w:rsid w:val="00973B3E"/>
    <w:rsid w:val="00974746"/>
    <w:rsid w:val="00974C40"/>
    <w:rsid w:val="00975119"/>
    <w:rsid w:val="00976F04"/>
    <w:rsid w:val="009775E9"/>
    <w:rsid w:val="009777F4"/>
    <w:rsid w:val="00977AD8"/>
    <w:rsid w:val="00980A10"/>
    <w:rsid w:val="00981130"/>
    <w:rsid w:val="00983038"/>
    <w:rsid w:val="00983A9E"/>
    <w:rsid w:val="00983D46"/>
    <w:rsid w:val="00983DCA"/>
    <w:rsid w:val="00985EF7"/>
    <w:rsid w:val="00986396"/>
    <w:rsid w:val="0098666D"/>
    <w:rsid w:val="00986CF9"/>
    <w:rsid w:val="00987416"/>
    <w:rsid w:val="009907E2"/>
    <w:rsid w:val="00990C0E"/>
    <w:rsid w:val="00990D75"/>
    <w:rsid w:val="00991093"/>
    <w:rsid w:val="0099163B"/>
    <w:rsid w:val="00992343"/>
    <w:rsid w:val="00992851"/>
    <w:rsid w:val="00993853"/>
    <w:rsid w:val="00993CD5"/>
    <w:rsid w:val="00996306"/>
    <w:rsid w:val="00996744"/>
    <w:rsid w:val="009967DA"/>
    <w:rsid w:val="00997CF4"/>
    <w:rsid w:val="009A1169"/>
    <w:rsid w:val="009A1AAC"/>
    <w:rsid w:val="009A3094"/>
    <w:rsid w:val="009A3789"/>
    <w:rsid w:val="009A4818"/>
    <w:rsid w:val="009A4860"/>
    <w:rsid w:val="009A56E7"/>
    <w:rsid w:val="009A5FAC"/>
    <w:rsid w:val="009A6919"/>
    <w:rsid w:val="009A6AC7"/>
    <w:rsid w:val="009A6CC2"/>
    <w:rsid w:val="009A7831"/>
    <w:rsid w:val="009B0408"/>
    <w:rsid w:val="009B0451"/>
    <w:rsid w:val="009B0843"/>
    <w:rsid w:val="009B1E47"/>
    <w:rsid w:val="009B2A54"/>
    <w:rsid w:val="009B2CED"/>
    <w:rsid w:val="009B3338"/>
    <w:rsid w:val="009B345D"/>
    <w:rsid w:val="009B414C"/>
    <w:rsid w:val="009B4DF3"/>
    <w:rsid w:val="009B5A4D"/>
    <w:rsid w:val="009B7321"/>
    <w:rsid w:val="009B7A72"/>
    <w:rsid w:val="009B7BB8"/>
    <w:rsid w:val="009C126A"/>
    <w:rsid w:val="009C1D4C"/>
    <w:rsid w:val="009C2DD2"/>
    <w:rsid w:val="009C370E"/>
    <w:rsid w:val="009C3794"/>
    <w:rsid w:val="009C441F"/>
    <w:rsid w:val="009C4A07"/>
    <w:rsid w:val="009C4B8E"/>
    <w:rsid w:val="009C51D5"/>
    <w:rsid w:val="009C543C"/>
    <w:rsid w:val="009C599A"/>
    <w:rsid w:val="009C650E"/>
    <w:rsid w:val="009C70DB"/>
    <w:rsid w:val="009D0E75"/>
    <w:rsid w:val="009D19BC"/>
    <w:rsid w:val="009D2348"/>
    <w:rsid w:val="009D2F0C"/>
    <w:rsid w:val="009D3578"/>
    <w:rsid w:val="009D3A5F"/>
    <w:rsid w:val="009D5193"/>
    <w:rsid w:val="009D5C32"/>
    <w:rsid w:val="009D6472"/>
    <w:rsid w:val="009D79F4"/>
    <w:rsid w:val="009E001F"/>
    <w:rsid w:val="009E0F34"/>
    <w:rsid w:val="009E31A3"/>
    <w:rsid w:val="009E3CD1"/>
    <w:rsid w:val="009E5988"/>
    <w:rsid w:val="009E5AF5"/>
    <w:rsid w:val="009E5EB5"/>
    <w:rsid w:val="009E623F"/>
    <w:rsid w:val="009E6F53"/>
    <w:rsid w:val="009E74F0"/>
    <w:rsid w:val="009F0575"/>
    <w:rsid w:val="009F0768"/>
    <w:rsid w:val="009F12F3"/>
    <w:rsid w:val="009F2A71"/>
    <w:rsid w:val="009F4F8F"/>
    <w:rsid w:val="009F7290"/>
    <w:rsid w:val="009F7867"/>
    <w:rsid w:val="009F7D66"/>
    <w:rsid w:val="00A00BD2"/>
    <w:rsid w:val="00A00CA5"/>
    <w:rsid w:val="00A00E56"/>
    <w:rsid w:val="00A027F3"/>
    <w:rsid w:val="00A02FAD"/>
    <w:rsid w:val="00A032A2"/>
    <w:rsid w:val="00A038FF"/>
    <w:rsid w:val="00A03978"/>
    <w:rsid w:val="00A04782"/>
    <w:rsid w:val="00A05DF3"/>
    <w:rsid w:val="00A0670C"/>
    <w:rsid w:val="00A06C09"/>
    <w:rsid w:val="00A07E08"/>
    <w:rsid w:val="00A108F6"/>
    <w:rsid w:val="00A12798"/>
    <w:rsid w:val="00A14A61"/>
    <w:rsid w:val="00A150AB"/>
    <w:rsid w:val="00A153BE"/>
    <w:rsid w:val="00A15DEE"/>
    <w:rsid w:val="00A16468"/>
    <w:rsid w:val="00A167B5"/>
    <w:rsid w:val="00A168A6"/>
    <w:rsid w:val="00A16DBE"/>
    <w:rsid w:val="00A1768C"/>
    <w:rsid w:val="00A17C4F"/>
    <w:rsid w:val="00A20653"/>
    <w:rsid w:val="00A20A39"/>
    <w:rsid w:val="00A21198"/>
    <w:rsid w:val="00A21B2C"/>
    <w:rsid w:val="00A23069"/>
    <w:rsid w:val="00A238BD"/>
    <w:rsid w:val="00A243E4"/>
    <w:rsid w:val="00A2459D"/>
    <w:rsid w:val="00A24E23"/>
    <w:rsid w:val="00A25961"/>
    <w:rsid w:val="00A25F05"/>
    <w:rsid w:val="00A272F3"/>
    <w:rsid w:val="00A311AE"/>
    <w:rsid w:val="00A312A6"/>
    <w:rsid w:val="00A3130E"/>
    <w:rsid w:val="00A3184A"/>
    <w:rsid w:val="00A324CF"/>
    <w:rsid w:val="00A32E8B"/>
    <w:rsid w:val="00A32ED6"/>
    <w:rsid w:val="00A344A5"/>
    <w:rsid w:val="00A346C3"/>
    <w:rsid w:val="00A34A89"/>
    <w:rsid w:val="00A35730"/>
    <w:rsid w:val="00A37381"/>
    <w:rsid w:val="00A4117E"/>
    <w:rsid w:val="00A42A88"/>
    <w:rsid w:val="00A42D07"/>
    <w:rsid w:val="00A43D85"/>
    <w:rsid w:val="00A450C0"/>
    <w:rsid w:val="00A45468"/>
    <w:rsid w:val="00A455F8"/>
    <w:rsid w:val="00A459BA"/>
    <w:rsid w:val="00A46604"/>
    <w:rsid w:val="00A4791B"/>
    <w:rsid w:val="00A503E3"/>
    <w:rsid w:val="00A50679"/>
    <w:rsid w:val="00A50A48"/>
    <w:rsid w:val="00A51242"/>
    <w:rsid w:val="00A51522"/>
    <w:rsid w:val="00A51573"/>
    <w:rsid w:val="00A51A5E"/>
    <w:rsid w:val="00A5266E"/>
    <w:rsid w:val="00A52895"/>
    <w:rsid w:val="00A53DA0"/>
    <w:rsid w:val="00A55975"/>
    <w:rsid w:val="00A56C4B"/>
    <w:rsid w:val="00A5765D"/>
    <w:rsid w:val="00A6046A"/>
    <w:rsid w:val="00A607CB"/>
    <w:rsid w:val="00A60FF0"/>
    <w:rsid w:val="00A60FFE"/>
    <w:rsid w:val="00A6351F"/>
    <w:rsid w:val="00A637BF"/>
    <w:rsid w:val="00A63EF0"/>
    <w:rsid w:val="00A643E0"/>
    <w:rsid w:val="00A65A70"/>
    <w:rsid w:val="00A66F36"/>
    <w:rsid w:val="00A6703D"/>
    <w:rsid w:val="00A676D9"/>
    <w:rsid w:val="00A67E48"/>
    <w:rsid w:val="00A67EFC"/>
    <w:rsid w:val="00A7031E"/>
    <w:rsid w:val="00A70759"/>
    <w:rsid w:val="00A71140"/>
    <w:rsid w:val="00A72B7B"/>
    <w:rsid w:val="00A74692"/>
    <w:rsid w:val="00A7618B"/>
    <w:rsid w:val="00A7640B"/>
    <w:rsid w:val="00A77373"/>
    <w:rsid w:val="00A7778B"/>
    <w:rsid w:val="00A803BC"/>
    <w:rsid w:val="00A807AF"/>
    <w:rsid w:val="00A80969"/>
    <w:rsid w:val="00A80C68"/>
    <w:rsid w:val="00A81DC4"/>
    <w:rsid w:val="00A84805"/>
    <w:rsid w:val="00A858C5"/>
    <w:rsid w:val="00A860D9"/>
    <w:rsid w:val="00A866A3"/>
    <w:rsid w:val="00A86EA7"/>
    <w:rsid w:val="00A91244"/>
    <w:rsid w:val="00A91AA1"/>
    <w:rsid w:val="00A92776"/>
    <w:rsid w:val="00A93181"/>
    <w:rsid w:val="00A938E6"/>
    <w:rsid w:val="00A93CCF"/>
    <w:rsid w:val="00A95BD5"/>
    <w:rsid w:val="00A95BFA"/>
    <w:rsid w:val="00A96F78"/>
    <w:rsid w:val="00AA1087"/>
    <w:rsid w:val="00AA1592"/>
    <w:rsid w:val="00AA25A9"/>
    <w:rsid w:val="00AA26D9"/>
    <w:rsid w:val="00AA27F5"/>
    <w:rsid w:val="00AA3DEA"/>
    <w:rsid w:val="00AA4AE2"/>
    <w:rsid w:val="00AA51AD"/>
    <w:rsid w:val="00AA591E"/>
    <w:rsid w:val="00AA65C9"/>
    <w:rsid w:val="00AA7BF3"/>
    <w:rsid w:val="00AB0A32"/>
    <w:rsid w:val="00AB0E56"/>
    <w:rsid w:val="00AB3A15"/>
    <w:rsid w:val="00AB4ECC"/>
    <w:rsid w:val="00AB6601"/>
    <w:rsid w:val="00AB674E"/>
    <w:rsid w:val="00AB6D79"/>
    <w:rsid w:val="00AB6F48"/>
    <w:rsid w:val="00AB7806"/>
    <w:rsid w:val="00AC02C1"/>
    <w:rsid w:val="00AC0AB6"/>
    <w:rsid w:val="00AC0C71"/>
    <w:rsid w:val="00AC10AD"/>
    <w:rsid w:val="00AC1E55"/>
    <w:rsid w:val="00AC429F"/>
    <w:rsid w:val="00AC5F27"/>
    <w:rsid w:val="00AC60B4"/>
    <w:rsid w:val="00AD00C5"/>
    <w:rsid w:val="00AD085F"/>
    <w:rsid w:val="00AD165F"/>
    <w:rsid w:val="00AD2794"/>
    <w:rsid w:val="00AD2DC5"/>
    <w:rsid w:val="00AD3455"/>
    <w:rsid w:val="00AD3CAD"/>
    <w:rsid w:val="00AD61F5"/>
    <w:rsid w:val="00AD69FF"/>
    <w:rsid w:val="00AD6F67"/>
    <w:rsid w:val="00AD702B"/>
    <w:rsid w:val="00AD72E6"/>
    <w:rsid w:val="00AD7311"/>
    <w:rsid w:val="00AD7C95"/>
    <w:rsid w:val="00AE0960"/>
    <w:rsid w:val="00AE1257"/>
    <w:rsid w:val="00AE1498"/>
    <w:rsid w:val="00AE3DE1"/>
    <w:rsid w:val="00AE44AC"/>
    <w:rsid w:val="00AE49A7"/>
    <w:rsid w:val="00AE6E76"/>
    <w:rsid w:val="00AE7527"/>
    <w:rsid w:val="00AF03CF"/>
    <w:rsid w:val="00AF259C"/>
    <w:rsid w:val="00AF26B0"/>
    <w:rsid w:val="00AF2D54"/>
    <w:rsid w:val="00AF3458"/>
    <w:rsid w:val="00AF3F7B"/>
    <w:rsid w:val="00AF42B4"/>
    <w:rsid w:val="00AF4B8A"/>
    <w:rsid w:val="00AF4F1B"/>
    <w:rsid w:val="00AF53BE"/>
    <w:rsid w:val="00AF5D1E"/>
    <w:rsid w:val="00AF5EC6"/>
    <w:rsid w:val="00AF6E8A"/>
    <w:rsid w:val="00AF71D9"/>
    <w:rsid w:val="00AF7213"/>
    <w:rsid w:val="00AF7D92"/>
    <w:rsid w:val="00B011CC"/>
    <w:rsid w:val="00B01A0B"/>
    <w:rsid w:val="00B04048"/>
    <w:rsid w:val="00B04F3D"/>
    <w:rsid w:val="00B0519F"/>
    <w:rsid w:val="00B056DF"/>
    <w:rsid w:val="00B05702"/>
    <w:rsid w:val="00B05FA6"/>
    <w:rsid w:val="00B0606F"/>
    <w:rsid w:val="00B06835"/>
    <w:rsid w:val="00B06DD9"/>
    <w:rsid w:val="00B07334"/>
    <w:rsid w:val="00B07CD6"/>
    <w:rsid w:val="00B07E52"/>
    <w:rsid w:val="00B07F7F"/>
    <w:rsid w:val="00B10010"/>
    <w:rsid w:val="00B11775"/>
    <w:rsid w:val="00B11AFC"/>
    <w:rsid w:val="00B123B5"/>
    <w:rsid w:val="00B12660"/>
    <w:rsid w:val="00B1302D"/>
    <w:rsid w:val="00B133A3"/>
    <w:rsid w:val="00B13B77"/>
    <w:rsid w:val="00B1466B"/>
    <w:rsid w:val="00B149A6"/>
    <w:rsid w:val="00B14DC2"/>
    <w:rsid w:val="00B1513F"/>
    <w:rsid w:val="00B15B31"/>
    <w:rsid w:val="00B15B89"/>
    <w:rsid w:val="00B1721E"/>
    <w:rsid w:val="00B1746F"/>
    <w:rsid w:val="00B17EA8"/>
    <w:rsid w:val="00B20725"/>
    <w:rsid w:val="00B20B94"/>
    <w:rsid w:val="00B20C2D"/>
    <w:rsid w:val="00B2152A"/>
    <w:rsid w:val="00B22CD3"/>
    <w:rsid w:val="00B2506B"/>
    <w:rsid w:val="00B25454"/>
    <w:rsid w:val="00B2628E"/>
    <w:rsid w:val="00B266B0"/>
    <w:rsid w:val="00B26E28"/>
    <w:rsid w:val="00B27921"/>
    <w:rsid w:val="00B3000E"/>
    <w:rsid w:val="00B30B17"/>
    <w:rsid w:val="00B31787"/>
    <w:rsid w:val="00B326A8"/>
    <w:rsid w:val="00B329EB"/>
    <w:rsid w:val="00B33330"/>
    <w:rsid w:val="00B33508"/>
    <w:rsid w:val="00B3377E"/>
    <w:rsid w:val="00B33ED1"/>
    <w:rsid w:val="00B35BC9"/>
    <w:rsid w:val="00B35DA4"/>
    <w:rsid w:val="00B36B65"/>
    <w:rsid w:val="00B409CC"/>
    <w:rsid w:val="00B40A96"/>
    <w:rsid w:val="00B40DC9"/>
    <w:rsid w:val="00B4184B"/>
    <w:rsid w:val="00B422A7"/>
    <w:rsid w:val="00B42A32"/>
    <w:rsid w:val="00B42FA6"/>
    <w:rsid w:val="00B43997"/>
    <w:rsid w:val="00B4399E"/>
    <w:rsid w:val="00B43A16"/>
    <w:rsid w:val="00B45C10"/>
    <w:rsid w:val="00B45CE1"/>
    <w:rsid w:val="00B46A75"/>
    <w:rsid w:val="00B46FB7"/>
    <w:rsid w:val="00B500CD"/>
    <w:rsid w:val="00B5239C"/>
    <w:rsid w:val="00B52FD2"/>
    <w:rsid w:val="00B53162"/>
    <w:rsid w:val="00B53893"/>
    <w:rsid w:val="00B53E5A"/>
    <w:rsid w:val="00B548C2"/>
    <w:rsid w:val="00B55428"/>
    <w:rsid w:val="00B55E5C"/>
    <w:rsid w:val="00B570BF"/>
    <w:rsid w:val="00B57144"/>
    <w:rsid w:val="00B5729A"/>
    <w:rsid w:val="00B61188"/>
    <w:rsid w:val="00B63337"/>
    <w:rsid w:val="00B6369F"/>
    <w:rsid w:val="00B639D7"/>
    <w:rsid w:val="00B644CF"/>
    <w:rsid w:val="00B64AA7"/>
    <w:rsid w:val="00B66594"/>
    <w:rsid w:val="00B67805"/>
    <w:rsid w:val="00B67F3C"/>
    <w:rsid w:val="00B70A76"/>
    <w:rsid w:val="00B71318"/>
    <w:rsid w:val="00B721CD"/>
    <w:rsid w:val="00B7267A"/>
    <w:rsid w:val="00B726FF"/>
    <w:rsid w:val="00B7291A"/>
    <w:rsid w:val="00B72AA4"/>
    <w:rsid w:val="00B731CC"/>
    <w:rsid w:val="00B75454"/>
    <w:rsid w:val="00B76BCD"/>
    <w:rsid w:val="00B76EE9"/>
    <w:rsid w:val="00B77880"/>
    <w:rsid w:val="00B77FD9"/>
    <w:rsid w:val="00B80D90"/>
    <w:rsid w:val="00B82537"/>
    <w:rsid w:val="00B82613"/>
    <w:rsid w:val="00B828B5"/>
    <w:rsid w:val="00B83B0D"/>
    <w:rsid w:val="00B84E9C"/>
    <w:rsid w:val="00B85522"/>
    <w:rsid w:val="00B86039"/>
    <w:rsid w:val="00B869DF"/>
    <w:rsid w:val="00B90E2A"/>
    <w:rsid w:val="00B90F2A"/>
    <w:rsid w:val="00B9198D"/>
    <w:rsid w:val="00B92C85"/>
    <w:rsid w:val="00B93008"/>
    <w:rsid w:val="00B9406D"/>
    <w:rsid w:val="00B944C0"/>
    <w:rsid w:val="00B94BA7"/>
    <w:rsid w:val="00B94BE9"/>
    <w:rsid w:val="00B94E0E"/>
    <w:rsid w:val="00B95343"/>
    <w:rsid w:val="00B958AF"/>
    <w:rsid w:val="00B961D6"/>
    <w:rsid w:val="00B96201"/>
    <w:rsid w:val="00B97CA3"/>
    <w:rsid w:val="00BA143E"/>
    <w:rsid w:val="00BA2C3D"/>
    <w:rsid w:val="00BA2E84"/>
    <w:rsid w:val="00BA3479"/>
    <w:rsid w:val="00BA3D7B"/>
    <w:rsid w:val="00BA3ED0"/>
    <w:rsid w:val="00BA76A9"/>
    <w:rsid w:val="00BA79A3"/>
    <w:rsid w:val="00BB22A6"/>
    <w:rsid w:val="00BB3E2B"/>
    <w:rsid w:val="00BB5043"/>
    <w:rsid w:val="00BB5D1C"/>
    <w:rsid w:val="00BB6552"/>
    <w:rsid w:val="00BB6B9B"/>
    <w:rsid w:val="00BB754F"/>
    <w:rsid w:val="00BC0543"/>
    <w:rsid w:val="00BC07D4"/>
    <w:rsid w:val="00BC0A5D"/>
    <w:rsid w:val="00BC0BE3"/>
    <w:rsid w:val="00BC106B"/>
    <w:rsid w:val="00BC10EF"/>
    <w:rsid w:val="00BC1522"/>
    <w:rsid w:val="00BC1AD9"/>
    <w:rsid w:val="00BC32E7"/>
    <w:rsid w:val="00BC3421"/>
    <w:rsid w:val="00BC478E"/>
    <w:rsid w:val="00BC4958"/>
    <w:rsid w:val="00BC58B9"/>
    <w:rsid w:val="00BC6A49"/>
    <w:rsid w:val="00BC746D"/>
    <w:rsid w:val="00BD0E81"/>
    <w:rsid w:val="00BD1A87"/>
    <w:rsid w:val="00BD294E"/>
    <w:rsid w:val="00BD3E68"/>
    <w:rsid w:val="00BD3FD0"/>
    <w:rsid w:val="00BD598A"/>
    <w:rsid w:val="00BD692E"/>
    <w:rsid w:val="00BD75B4"/>
    <w:rsid w:val="00BD7BFE"/>
    <w:rsid w:val="00BD7D14"/>
    <w:rsid w:val="00BE02B4"/>
    <w:rsid w:val="00BE0A4E"/>
    <w:rsid w:val="00BE1553"/>
    <w:rsid w:val="00BE2797"/>
    <w:rsid w:val="00BE3BE1"/>
    <w:rsid w:val="00BE4EC9"/>
    <w:rsid w:val="00BE631E"/>
    <w:rsid w:val="00BE7B83"/>
    <w:rsid w:val="00BE7D8B"/>
    <w:rsid w:val="00BF0BD4"/>
    <w:rsid w:val="00BF0CCF"/>
    <w:rsid w:val="00BF0F31"/>
    <w:rsid w:val="00BF0FC5"/>
    <w:rsid w:val="00BF10BC"/>
    <w:rsid w:val="00BF21AC"/>
    <w:rsid w:val="00BF2E53"/>
    <w:rsid w:val="00BF3133"/>
    <w:rsid w:val="00BF3669"/>
    <w:rsid w:val="00BF3C0D"/>
    <w:rsid w:val="00BF711C"/>
    <w:rsid w:val="00BF7C74"/>
    <w:rsid w:val="00C00AD8"/>
    <w:rsid w:val="00C00ED8"/>
    <w:rsid w:val="00C01FA8"/>
    <w:rsid w:val="00C0208F"/>
    <w:rsid w:val="00C02367"/>
    <w:rsid w:val="00C02E65"/>
    <w:rsid w:val="00C03309"/>
    <w:rsid w:val="00C05F7B"/>
    <w:rsid w:val="00C067D5"/>
    <w:rsid w:val="00C072FE"/>
    <w:rsid w:val="00C10655"/>
    <w:rsid w:val="00C12E39"/>
    <w:rsid w:val="00C1339A"/>
    <w:rsid w:val="00C14164"/>
    <w:rsid w:val="00C15D8E"/>
    <w:rsid w:val="00C17012"/>
    <w:rsid w:val="00C178FB"/>
    <w:rsid w:val="00C214B4"/>
    <w:rsid w:val="00C22B28"/>
    <w:rsid w:val="00C22B5A"/>
    <w:rsid w:val="00C24077"/>
    <w:rsid w:val="00C257B7"/>
    <w:rsid w:val="00C272E8"/>
    <w:rsid w:val="00C311EC"/>
    <w:rsid w:val="00C320C0"/>
    <w:rsid w:val="00C33359"/>
    <w:rsid w:val="00C348D6"/>
    <w:rsid w:val="00C35389"/>
    <w:rsid w:val="00C365E7"/>
    <w:rsid w:val="00C36E34"/>
    <w:rsid w:val="00C404EE"/>
    <w:rsid w:val="00C40D2D"/>
    <w:rsid w:val="00C40FC3"/>
    <w:rsid w:val="00C4171B"/>
    <w:rsid w:val="00C42689"/>
    <w:rsid w:val="00C42988"/>
    <w:rsid w:val="00C42BD4"/>
    <w:rsid w:val="00C43547"/>
    <w:rsid w:val="00C43807"/>
    <w:rsid w:val="00C43FF0"/>
    <w:rsid w:val="00C44641"/>
    <w:rsid w:val="00C45EF5"/>
    <w:rsid w:val="00C46B7E"/>
    <w:rsid w:val="00C50A4E"/>
    <w:rsid w:val="00C50CE4"/>
    <w:rsid w:val="00C51A73"/>
    <w:rsid w:val="00C520B1"/>
    <w:rsid w:val="00C522D6"/>
    <w:rsid w:val="00C53BBB"/>
    <w:rsid w:val="00C54020"/>
    <w:rsid w:val="00C5406F"/>
    <w:rsid w:val="00C545C5"/>
    <w:rsid w:val="00C55566"/>
    <w:rsid w:val="00C575A5"/>
    <w:rsid w:val="00C60237"/>
    <w:rsid w:val="00C6038F"/>
    <w:rsid w:val="00C61892"/>
    <w:rsid w:val="00C61CE2"/>
    <w:rsid w:val="00C61D4B"/>
    <w:rsid w:val="00C62B0A"/>
    <w:rsid w:val="00C631CF"/>
    <w:rsid w:val="00C63F08"/>
    <w:rsid w:val="00C640FE"/>
    <w:rsid w:val="00C6528C"/>
    <w:rsid w:val="00C655E5"/>
    <w:rsid w:val="00C661E8"/>
    <w:rsid w:val="00C6648F"/>
    <w:rsid w:val="00C70084"/>
    <w:rsid w:val="00C70C3C"/>
    <w:rsid w:val="00C7235B"/>
    <w:rsid w:val="00C72E18"/>
    <w:rsid w:val="00C731AD"/>
    <w:rsid w:val="00C73553"/>
    <w:rsid w:val="00C7380B"/>
    <w:rsid w:val="00C74421"/>
    <w:rsid w:val="00C7542D"/>
    <w:rsid w:val="00C75F2F"/>
    <w:rsid w:val="00C75FEE"/>
    <w:rsid w:val="00C76F1D"/>
    <w:rsid w:val="00C77202"/>
    <w:rsid w:val="00C7724C"/>
    <w:rsid w:val="00C77D26"/>
    <w:rsid w:val="00C80BDF"/>
    <w:rsid w:val="00C84D39"/>
    <w:rsid w:val="00C85277"/>
    <w:rsid w:val="00C8562B"/>
    <w:rsid w:val="00C85B9D"/>
    <w:rsid w:val="00C85D76"/>
    <w:rsid w:val="00C869A3"/>
    <w:rsid w:val="00C873AC"/>
    <w:rsid w:val="00C906C6"/>
    <w:rsid w:val="00C91577"/>
    <w:rsid w:val="00C917F8"/>
    <w:rsid w:val="00C93462"/>
    <w:rsid w:val="00C93880"/>
    <w:rsid w:val="00C94384"/>
    <w:rsid w:val="00C94A34"/>
    <w:rsid w:val="00C94C2B"/>
    <w:rsid w:val="00C96860"/>
    <w:rsid w:val="00C96F79"/>
    <w:rsid w:val="00C97146"/>
    <w:rsid w:val="00C97CF9"/>
    <w:rsid w:val="00CA0642"/>
    <w:rsid w:val="00CA17DD"/>
    <w:rsid w:val="00CA1863"/>
    <w:rsid w:val="00CA192A"/>
    <w:rsid w:val="00CA26CE"/>
    <w:rsid w:val="00CA391D"/>
    <w:rsid w:val="00CA3ACD"/>
    <w:rsid w:val="00CA40D2"/>
    <w:rsid w:val="00CA4F8B"/>
    <w:rsid w:val="00CA519F"/>
    <w:rsid w:val="00CA5F81"/>
    <w:rsid w:val="00CB04B7"/>
    <w:rsid w:val="00CB09DA"/>
    <w:rsid w:val="00CB0A14"/>
    <w:rsid w:val="00CB0BD9"/>
    <w:rsid w:val="00CB1190"/>
    <w:rsid w:val="00CB1CAC"/>
    <w:rsid w:val="00CB1D87"/>
    <w:rsid w:val="00CB1DE8"/>
    <w:rsid w:val="00CB1E3B"/>
    <w:rsid w:val="00CB1F1D"/>
    <w:rsid w:val="00CB3CFC"/>
    <w:rsid w:val="00CB4212"/>
    <w:rsid w:val="00CB600D"/>
    <w:rsid w:val="00CB646D"/>
    <w:rsid w:val="00CB6F29"/>
    <w:rsid w:val="00CB71F8"/>
    <w:rsid w:val="00CB79DA"/>
    <w:rsid w:val="00CC26DB"/>
    <w:rsid w:val="00CC300C"/>
    <w:rsid w:val="00CC35AE"/>
    <w:rsid w:val="00CC36D2"/>
    <w:rsid w:val="00CC3DAA"/>
    <w:rsid w:val="00CC43B0"/>
    <w:rsid w:val="00CC49C7"/>
    <w:rsid w:val="00CC4C2C"/>
    <w:rsid w:val="00CC5057"/>
    <w:rsid w:val="00CC5496"/>
    <w:rsid w:val="00CC5603"/>
    <w:rsid w:val="00CC587F"/>
    <w:rsid w:val="00CC6279"/>
    <w:rsid w:val="00CC79F7"/>
    <w:rsid w:val="00CD078F"/>
    <w:rsid w:val="00CD121E"/>
    <w:rsid w:val="00CD1922"/>
    <w:rsid w:val="00CD19F6"/>
    <w:rsid w:val="00CD28F0"/>
    <w:rsid w:val="00CD3ED8"/>
    <w:rsid w:val="00CD736C"/>
    <w:rsid w:val="00CD761D"/>
    <w:rsid w:val="00CD76B5"/>
    <w:rsid w:val="00CE2346"/>
    <w:rsid w:val="00CE2B02"/>
    <w:rsid w:val="00CE2CA6"/>
    <w:rsid w:val="00CE4863"/>
    <w:rsid w:val="00CE4F2D"/>
    <w:rsid w:val="00CE60A1"/>
    <w:rsid w:val="00CE60EB"/>
    <w:rsid w:val="00CE6A8A"/>
    <w:rsid w:val="00CE6F0F"/>
    <w:rsid w:val="00CE6F23"/>
    <w:rsid w:val="00CE7C7C"/>
    <w:rsid w:val="00CF002F"/>
    <w:rsid w:val="00CF0246"/>
    <w:rsid w:val="00CF0C02"/>
    <w:rsid w:val="00CF1899"/>
    <w:rsid w:val="00CF2483"/>
    <w:rsid w:val="00CF24E2"/>
    <w:rsid w:val="00CF393D"/>
    <w:rsid w:val="00CF471A"/>
    <w:rsid w:val="00CF4ABD"/>
    <w:rsid w:val="00CF4BC8"/>
    <w:rsid w:val="00CF5A53"/>
    <w:rsid w:val="00CF5D28"/>
    <w:rsid w:val="00CF6942"/>
    <w:rsid w:val="00CF6F1E"/>
    <w:rsid w:val="00D001F9"/>
    <w:rsid w:val="00D0036E"/>
    <w:rsid w:val="00D00BB7"/>
    <w:rsid w:val="00D01EAD"/>
    <w:rsid w:val="00D035B9"/>
    <w:rsid w:val="00D060FF"/>
    <w:rsid w:val="00D064E8"/>
    <w:rsid w:val="00D06572"/>
    <w:rsid w:val="00D065CD"/>
    <w:rsid w:val="00D06A32"/>
    <w:rsid w:val="00D07D93"/>
    <w:rsid w:val="00D112E1"/>
    <w:rsid w:val="00D12325"/>
    <w:rsid w:val="00D14487"/>
    <w:rsid w:val="00D15E7E"/>
    <w:rsid w:val="00D162EF"/>
    <w:rsid w:val="00D17F03"/>
    <w:rsid w:val="00D20016"/>
    <w:rsid w:val="00D207A7"/>
    <w:rsid w:val="00D20CD6"/>
    <w:rsid w:val="00D20E00"/>
    <w:rsid w:val="00D21DBE"/>
    <w:rsid w:val="00D2279F"/>
    <w:rsid w:val="00D22AF1"/>
    <w:rsid w:val="00D22E93"/>
    <w:rsid w:val="00D23694"/>
    <w:rsid w:val="00D242DA"/>
    <w:rsid w:val="00D24799"/>
    <w:rsid w:val="00D26448"/>
    <w:rsid w:val="00D264CE"/>
    <w:rsid w:val="00D26670"/>
    <w:rsid w:val="00D27137"/>
    <w:rsid w:val="00D275CA"/>
    <w:rsid w:val="00D27B8B"/>
    <w:rsid w:val="00D27D59"/>
    <w:rsid w:val="00D31B6E"/>
    <w:rsid w:val="00D3232B"/>
    <w:rsid w:val="00D3239F"/>
    <w:rsid w:val="00D324A4"/>
    <w:rsid w:val="00D3250C"/>
    <w:rsid w:val="00D328F6"/>
    <w:rsid w:val="00D3462C"/>
    <w:rsid w:val="00D34A63"/>
    <w:rsid w:val="00D35198"/>
    <w:rsid w:val="00D3584B"/>
    <w:rsid w:val="00D376B1"/>
    <w:rsid w:val="00D376F7"/>
    <w:rsid w:val="00D40BFD"/>
    <w:rsid w:val="00D41004"/>
    <w:rsid w:val="00D42240"/>
    <w:rsid w:val="00D427C3"/>
    <w:rsid w:val="00D42EB8"/>
    <w:rsid w:val="00D440EE"/>
    <w:rsid w:val="00D44922"/>
    <w:rsid w:val="00D44932"/>
    <w:rsid w:val="00D44D92"/>
    <w:rsid w:val="00D46111"/>
    <w:rsid w:val="00D472E2"/>
    <w:rsid w:val="00D47953"/>
    <w:rsid w:val="00D47C16"/>
    <w:rsid w:val="00D502AF"/>
    <w:rsid w:val="00D50709"/>
    <w:rsid w:val="00D50764"/>
    <w:rsid w:val="00D50C12"/>
    <w:rsid w:val="00D518FF"/>
    <w:rsid w:val="00D51A77"/>
    <w:rsid w:val="00D52751"/>
    <w:rsid w:val="00D53010"/>
    <w:rsid w:val="00D5354F"/>
    <w:rsid w:val="00D53649"/>
    <w:rsid w:val="00D53830"/>
    <w:rsid w:val="00D54695"/>
    <w:rsid w:val="00D54FB3"/>
    <w:rsid w:val="00D55889"/>
    <w:rsid w:val="00D56B5F"/>
    <w:rsid w:val="00D57A3F"/>
    <w:rsid w:val="00D57AF0"/>
    <w:rsid w:val="00D57DCF"/>
    <w:rsid w:val="00D61E9A"/>
    <w:rsid w:val="00D61FC2"/>
    <w:rsid w:val="00D62ECD"/>
    <w:rsid w:val="00D630F6"/>
    <w:rsid w:val="00D6383B"/>
    <w:rsid w:val="00D64426"/>
    <w:rsid w:val="00D645A3"/>
    <w:rsid w:val="00D65D78"/>
    <w:rsid w:val="00D664F0"/>
    <w:rsid w:val="00D67BC5"/>
    <w:rsid w:val="00D7021B"/>
    <w:rsid w:val="00D7073E"/>
    <w:rsid w:val="00D70D33"/>
    <w:rsid w:val="00D71749"/>
    <w:rsid w:val="00D73077"/>
    <w:rsid w:val="00D736A2"/>
    <w:rsid w:val="00D73B27"/>
    <w:rsid w:val="00D73C57"/>
    <w:rsid w:val="00D742FF"/>
    <w:rsid w:val="00D7439B"/>
    <w:rsid w:val="00D747FB"/>
    <w:rsid w:val="00D754C4"/>
    <w:rsid w:val="00D758B3"/>
    <w:rsid w:val="00D76ADC"/>
    <w:rsid w:val="00D77413"/>
    <w:rsid w:val="00D77627"/>
    <w:rsid w:val="00D80F4C"/>
    <w:rsid w:val="00D81F10"/>
    <w:rsid w:val="00D8201E"/>
    <w:rsid w:val="00D82E0A"/>
    <w:rsid w:val="00D84A57"/>
    <w:rsid w:val="00D84C3B"/>
    <w:rsid w:val="00D874DF"/>
    <w:rsid w:val="00D8764A"/>
    <w:rsid w:val="00D87A12"/>
    <w:rsid w:val="00D90C06"/>
    <w:rsid w:val="00D918F4"/>
    <w:rsid w:val="00D930E1"/>
    <w:rsid w:val="00D9415C"/>
    <w:rsid w:val="00D942CC"/>
    <w:rsid w:val="00D94ADE"/>
    <w:rsid w:val="00D94D87"/>
    <w:rsid w:val="00D95DE4"/>
    <w:rsid w:val="00D962DC"/>
    <w:rsid w:val="00D96E0A"/>
    <w:rsid w:val="00D97BB5"/>
    <w:rsid w:val="00DA180C"/>
    <w:rsid w:val="00DA1EF7"/>
    <w:rsid w:val="00DA3E7B"/>
    <w:rsid w:val="00DA451D"/>
    <w:rsid w:val="00DA56DB"/>
    <w:rsid w:val="00DA6452"/>
    <w:rsid w:val="00DA6C81"/>
    <w:rsid w:val="00DA6FE9"/>
    <w:rsid w:val="00DA7925"/>
    <w:rsid w:val="00DA7FF0"/>
    <w:rsid w:val="00DB0AB8"/>
    <w:rsid w:val="00DB0D2A"/>
    <w:rsid w:val="00DB11CD"/>
    <w:rsid w:val="00DB1DAB"/>
    <w:rsid w:val="00DB39D4"/>
    <w:rsid w:val="00DB3A47"/>
    <w:rsid w:val="00DB4E06"/>
    <w:rsid w:val="00DB5636"/>
    <w:rsid w:val="00DB6A80"/>
    <w:rsid w:val="00DB6C06"/>
    <w:rsid w:val="00DB7B06"/>
    <w:rsid w:val="00DC23A1"/>
    <w:rsid w:val="00DC2CCF"/>
    <w:rsid w:val="00DC3A9D"/>
    <w:rsid w:val="00DC3FF5"/>
    <w:rsid w:val="00DC48E1"/>
    <w:rsid w:val="00DC625F"/>
    <w:rsid w:val="00DC6C1E"/>
    <w:rsid w:val="00DC708C"/>
    <w:rsid w:val="00DC7951"/>
    <w:rsid w:val="00DD0C7F"/>
    <w:rsid w:val="00DD0F95"/>
    <w:rsid w:val="00DD1C4B"/>
    <w:rsid w:val="00DD1F7B"/>
    <w:rsid w:val="00DD229E"/>
    <w:rsid w:val="00DD3029"/>
    <w:rsid w:val="00DD44C7"/>
    <w:rsid w:val="00DD55E0"/>
    <w:rsid w:val="00DD5E12"/>
    <w:rsid w:val="00DD6A61"/>
    <w:rsid w:val="00DE0C66"/>
    <w:rsid w:val="00DE1904"/>
    <w:rsid w:val="00DE1B85"/>
    <w:rsid w:val="00DE2589"/>
    <w:rsid w:val="00DE3202"/>
    <w:rsid w:val="00DE3D8F"/>
    <w:rsid w:val="00DE3DBB"/>
    <w:rsid w:val="00DE43A2"/>
    <w:rsid w:val="00DE4A74"/>
    <w:rsid w:val="00DE4B05"/>
    <w:rsid w:val="00DE541C"/>
    <w:rsid w:val="00DE5F40"/>
    <w:rsid w:val="00DE66CB"/>
    <w:rsid w:val="00DE737B"/>
    <w:rsid w:val="00DF0587"/>
    <w:rsid w:val="00DF100B"/>
    <w:rsid w:val="00DF1371"/>
    <w:rsid w:val="00DF23CA"/>
    <w:rsid w:val="00DF2929"/>
    <w:rsid w:val="00DF2ED3"/>
    <w:rsid w:val="00DF3B76"/>
    <w:rsid w:val="00DF4359"/>
    <w:rsid w:val="00DF4D53"/>
    <w:rsid w:val="00DF4FA9"/>
    <w:rsid w:val="00DF5634"/>
    <w:rsid w:val="00DF573B"/>
    <w:rsid w:val="00DF7742"/>
    <w:rsid w:val="00DF7751"/>
    <w:rsid w:val="00E02A62"/>
    <w:rsid w:val="00E02F58"/>
    <w:rsid w:val="00E031BB"/>
    <w:rsid w:val="00E0353C"/>
    <w:rsid w:val="00E0424A"/>
    <w:rsid w:val="00E0520E"/>
    <w:rsid w:val="00E0576C"/>
    <w:rsid w:val="00E0626B"/>
    <w:rsid w:val="00E068BC"/>
    <w:rsid w:val="00E073F0"/>
    <w:rsid w:val="00E10761"/>
    <w:rsid w:val="00E108E4"/>
    <w:rsid w:val="00E112C1"/>
    <w:rsid w:val="00E11D7A"/>
    <w:rsid w:val="00E11EEB"/>
    <w:rsid w:val="00E1239A"/>
    <w:rsid w:val="00E128F2"/>
    <w:rsid w:val="00E13883"/>
    <w:rsid w:val="00E13EE4"/>
    <w:rsid w:val="00E1559B"/>
    <w:rsid w:val="00E16463"/>
    <w:rsid w:val="00E20921"/>
    <w:rsid w:val="00E20AD3"/>
    <w:rsid w:val="00E20CCC"/>
    <w:rsid w:val="00E239D1"/>
    <w:rsid w:val="00E26727"/>
    <w:rsid w:val="00E26970"/>
    <w:rsid w:val="00E26F4F"/>
    <w:rsid w:val="00E27791"/>
    <w:rsid w:val="00E30F2D"/>
    <w:rsid w:val="00E313D4"/>
    <w:rsid w:val="00E319DB"/>
    <w:rsid w:val="00E31AFC"/>
    <w:rsid w:val="00E33B0B"/>
    <w:rsid w:val="00E3409E"/>
    <w:rsid w:val="00E34F76"/>
    <w:rsid w:val="00E360A3"/>
    <w:rsid w:val="00E372D9"/>
    <w:rsid w:val="00E37BE5"/>
    <w:rsid w:val="00E41A27"/>
    <w:rsid w:val="00E4285A"/>
    <w:rsid w:val="00E430C7"/>
    <w:rsid w:val="00E43E8C"/>
    <w:rsid w:val="00E457C3"/>
    <w:rsid w:val="00E45832"/>
    <w:rsid w:val="00E4608B"/>
    <w:rsid w:val="00E461D3"/>
    <w:rsid w:val="00E469B2"/>
    <w:rsid w:val="00E47506"/>
    <w:rsid w:val="00E47767"/>
    <w:rsid w:val="00E47A92"/>
    <w:rsid w:val="00E501D3"/>
    <w:rsid w:val="00E51FEE"/>
    <w:rsid w:val="00E53A01"/>
    <w:rsid w:val="00E54961"/>
    <w:rsid w:val="00E564C4"/>
    <w:rsid w:val="00E567C9"/>
    <w:rsid w:val="00E57446"/>
    <w:rsid w:val="00E604C4"/>
    <w:rsid w:val="00E60809"/>
    <w:rsid w:val="00E60991"/>
    <w:rsid w:val="00E61300"/>
    <w:rsid w:val="00E614F2"/>
    <w:rsid w:val="00E61F71"/>
    <w:rsid w:val="00E635B9"/>
    <w:rsid w:val="00E65D15"/>
    <w:rsid w:val="00E666BE"/>
    <w:rsid w:val="00E66C49"/>
    <w:rsid w:val="00E67EE5"/>
    <w:rsid w:val="00E7013A"/>
    <w:rsid w:val="00E74F5D"/>
    <w:rsid w:val="00E76034"/>
    <w:rsid w:val="00E769A9"/>
    <w:rsid w:val="00E80371"/>
    <w:rsid w:val="00E80440"/>
    <w:rsid w:val="00E80515"/>
    <w:rsid w:val="00E81752"/>
    <w:rsid w:val="00E817E0"/>
    <w:rsid w:val="00E819FB"/>
    <w:rsid w:val="00E82B3D"/>
    <w:rsid w:val="00E82EE4"/>
    <w:rsid w:val="00E82F13"/>
    <w:rsid w:val="00E831E7"/>
    <w:rsid w:val="00E8335F"/>
    <w:rsid w:val="00E843B5"/>
    <w:rsid w:val="00E84A3B"/>
    <w:rsid w:val="00E85307"/>
    <w:rsid w:val="00E859C0"/>
    <w:rsid w:val="00E86508"/>
    <w:rsid w:val="00E87E13"/>
    <w:rsid w:val="00E907E4"/>
    <w:rsid w:val="00E90A24"/>
    <w:rsid w:val="00E90C34"/>
    <w:rsid w:val="00E90F01"/>
    <w:rsid w:val="00E919AC"/>
    <w:rsid w:val="00E91AC8"/>
    <w:rsid w:val="00E9325C"/>
    <w:rsid w:val="00E946A6"/>
    <w:rsid w:val="00E947E4"/>
    <w:rsid w:val="00E94C9F"/>
    <w:rsid w:val="00E95564"/>
    <w:rsid w:val="00E96A29"/>
    <w:rsid w:val="00E96B28"/>
    <w:rsid w:val="00E96FE6"/>
    <w:rsid w:val="00E97477"/>
    <w:rsid w:val="00E97652"/>
    <w:rsid w:val="00E9765F"/>
    <w:rsid w:val="00EA0A5C"/>
    <w:rsid w:val="00EA0AD2"/>
    <w:rsid w:val="00EA0CF0"/>
    <w:rsid w:val="00EA1D43"/>
    <w:rsid w:val="00EA20B0"/>
    <w:rsid w:val="00EA4A9D"/>
    <w:rsid w:val="00EA4EC9"/>
    <w:rsid w:val="00EA5E0F"/>
    <w:rsid w:val="00EA6FE4"/>
    <w:rsid w:val="00EA7723"/>
    <w:rsid w:val="00EA7F4C"/>
    <w:rsid w:val="00EB1AED"/>
    <w:rsid w:val="00EB1D47"/>
    <w:rsid w:val="00EB2146"/>
    <w:rsid w:val="00EB2317"/>
    <w:rsid w:val="00EB279B"/>
    <w:rsid w:val="00EB2ABB"/>
    <w:rsid w:val="00EB3631"/>
    <w:rsid w:val="00EB55CA"/>
    <w:rsid w:val="00EB584C"/>
    <w:rsid w:val="00EB5D88"/>
    <w:rsid w:val="00EB7307"/>
    <w:rsid w:val="00EC14B0"/>
    <w:rsid w:val="00EC204E"/>
    <w:rsid w:val="00EC249E"/>
    <w:rsid w:val="00EC2CFF"/>
    <w:rsid w:val="00EC440C"/>
    <w:rsid w:val="00EC4D33"/>
    <w:rsid w:val="00EC5F2F"/>
    <w:rsid w:val="00EC61E4"/>
    <w:rsid w:val="00EC651E"/>
    <w:rsid w:val="00EC692E"/>
    <w:rsid w:val="00EC7212"/>
    <w:rsid w:val="00EC745E"/>
    <w:rsid w:val="00EC7EAF"/>
    <w:rsid w:val="00ED03DB"/>
    <w:rsid w:val="00ED1159"/>
    <w:rsid w:val="00ED1759"/>
    <w:rsid w:val="00ED27C3"/>
    <w:rsid w:val="00ED2D84"/>
    <w:rsid w:val="00ED33AE"/>
    <w:rsid w:val="00ED3775"/>
    <w:rsid w:val="00ED427D"/>
    <w:rsid w:val="00ED4A6D"/>
    <w:rsid w:val="00ED4C9A"/>
    <w:rsid w:val="00ED556A"/>
    <w:rsid w:val="00ED61E6"/>
    <w:rsid w:val="00ED6D4A"/>
    <w:rsid w:val="00ED6E42"/>
    <w:rsid w:val="00ED7136"/>
    <w:rsid w:val="00ED738C"/>
    <w:rsid w:val="00ED7411"/>
    <w:rsid w:val="00ED7918"/>
    <w:rsid w:val="00ED7FD3"/>
    <w:rsid w:val="00EE078B"/>
    <w:rsid w:val="00EE182A"/>
    <w:rsid w:val="00EE296F"/>
    <w:rsid w:val="00EE3663"/>
    <w:rsid w:val="00EE41C4"/>
    <w:rsid w:val="00EE41E8"/>
    <w:rsid w:val="00EE4A40"/>
    <w:rsid w:val="00EE68D2"/>
    <w:rsid w:val="00EE76A9"/>
    <w:rsid w:val="00EE799E"/>
    <w:rsid w:val="00EE7C7E"/>
    <w:rsid w:val="00EE7CA8"/>
    <w:rsid w:val="00EE7FA7"/>
    <w:rsid w:val="00EF1093"/>
    <w:rsid w:val="00EF1FCB"/>
    <w:rsid w:val="00EF21C3"/>
    <w:rsid w:val="00EF2E6B"/>
    <w:rsid w:val="00EF58AE"/>
    <w:rsid w:val="00EF6091"/>
    <w:rsid w:val="00EF614C"/>
    <w:rsid w:val="00EF6CC4"/>
    <w:rsid w:val="00F0030E"/>
    <w:rsid w:val="00F00405"/>
    <w:rsid w:val="00F00A92"/>
    <w:rsid w:val="00F00CD1"/>
    <w:rsid w:val="00F01CCA"/>
    <w:rsid w:val="00F01E6B"/>
    <w:rsid w:val="00F01F5A"/>
    <w:rsid w:val="00F0241C"/>
    <w:rsid w:val="00F04091"/>
    <w:rsid w:val="00F049CD"/>
    <w:rsid w:val="00F05759"/>
    <w:rsid w:val="00F074DA"/>
    <w:rsid w:val="00F07FDE"/>
    <w:rsid w:val="00F10CB9"/>
    <w:rsid w:val="00F110D5"/>
    <w:rsid w:val="00F121D1"/>
    <w:rsid w:val="00F12351"/>
    <w:rsid w:val="00F15515"/>
    <w:rsid w:val="00F1567B"/>
    <w:rsid w:val="00F16739"/>
    <w:rsid w:val="00F16DE2"/>
    <w:rsid w:val="00F17C5F"/>
    <w:rsid w:val="00F200EF"/>
    <w:rsid w:val="00F2052B"/>
    <w:rsid w:val="00F210C7"/>
    <w:rsid w:val="00F213FF"/>
    <w:rsid w:val="00F2260F"/>
    <w:rsid w:val="00F2294B"/>
    <w:rsid w:val="00F242AD"/>
    <w:rsid w:val="00F247F2"/>
    <w:rsid w:val="00F24AF9"/>
    <w:rsid w:val="00F252A8"/>
    <w:rsid w:val="00F25614"/>
    <w:rsid w:val="00F2608D"/>
    <w:rsid w:val="00F2619B"/>
    <w:rsid w:val="00F265F7"/>
    <w:rsid w:val="00F27A9C"/>
    <w:rsid w:val="00F27C15"/>
    <w:rsid w:val="00F27FA6"/>
    <w:rsid w:val="00F30B70"/>
    <w:rsid w:val="00F30C74"/>
    <w:rsid w:val="00F328D6"/>
    <w:rsid w:val="00F33DC8"/>
    <w:rsid w:val="00F34350"/>
    <w:rsid w:val="00F34444"/>
    <w:rsid w:val="00F34F36"/>
    <w:rsid w:val="00F360A6"/>
    <w:rsid w:val="00F36F33"/>
    <w:rsid w:val="00F3726C"/>
    <w:rsid w:val="00F4065A"/>
    <w:rsid w:val="00F40F19"/>
    <w:rsid w:val="00F41056"/>
    <w:rsid w:val="00F4275C"/>
    <w:rsid w:val="00F45693"/>
    <w:rsid w:val="00F46A3C"/>
    <w:rsid w:val="00F47983"/>
    <w:rsid w:val="00F47C8B"/>
    <w:rsid w:val="00F506DF"/>
    <w:rsid w:val="00F51F04"/>
    <w:rsid w:val="00F52339"/>
    <w:rsid w:val="00F52686"/>
    <w:rsid w:val="00F5277A"/>
    <w:rsid w:val="00F532E8"/>
    <w:rsid w:val="00F537FF"/>
    <w:rsid w:val="00F53860"/>
    <w:rsid w:val="00F54405"/>
    <w:rsid w:val="00F560FE"/>
    <w:rsid w:val="00F605B6"/>
    <w:rsid w:val="00F6111C"/>
    <w:rsid w:val="00F613EC"/>
    <w:rsid w:val="00F614C0"/>
    <w:rsid w:val="00F61647"/>
    <w:rsid w:val="00F61F5F"/>
    <w:rsid w:val="00F623D2"/>
    <w:rsid w:val="00F64010"/>
    <w:rsid w:val="00F657CF"/>
    <w:rsid w:val="00F66A00"/>
    <w:rsid w:val="00F70CD3"/>
    <w:rsid w:val="00F713A3"/>
    <w:rsid w:val="00F719B0"/>
    <w:rsid w:val="00F71A8F"/>
    <w:rsid w:val="00F72AAE"/>
    <w:rsid w:val="00F73E5A"/>
    <w:rsid w:val="00F75330"/>
    <w:rsid w:val="00F76410"/>
    <w:rsid w:val="00F76BD9"/>
    <w:rsid w:val="00F80318"/>
    <w:rsid w:val="00F80703"/>
    <w:rsid w:val="00F80948"/>
    <w:rsid w:val="00F80A7F"/>
    <w:rsid w:val="00F81387"/>
    <w:rsid w:val="00F81E3D"/>
    <w:rsid w:val="00F8214F"/>
    <w:rsid w:val="00F822E3"/>
    <w:rsid w:val="00F82866"/>
    <w:rsid w:val="00F84421"/>
    <w:rsid w:val="00F8449B"/>
    <w:rsid w:val="00F84AB3"/>
    <w:rsid w:val="00F84D8D"/>
    <w:rsid w:val="00F85691"/>
    <w:rsid w:val="00F87032"/>
    <w:rsid w:val="00F87094"/>
    <w:rsid w:val="00F87AB3"/>
    <w:rsid w:val="00F913DC"/>
    <w:rsid w:val="00F917FE"/>
    <w:rsid w:val="00F91DDA"/>
    <w:rsid w:val="00F921E0"/>
    <w:rsid w:val="00F9397A"/>
    <w:rsid w:val="00F93A37"/>
    <w:rsid w:val="00F94182"/>
    <w:rsid w:val="00F944D9"/>
    <w:rsid w:val="00F94DB3"/>
    <w:rsid w:val="00F952D2"/>
    <w:rsid w:val="00F9606C"/>
    <w:rsid w:val="00F96500"/>
    <w:rsid w:val="00FA036E"/>
    <w:rsid w:val="00FA03EB"/>
    <w:rsid w:val="00FA1660"/>
    <w:rsid w:val="00FA2C70"/>
    <w:rsid w:val="00FA3F80"/>
    <w:rsid w:val="00FA413A"/>
    <w:rsid w:val="00FA4144"/>
    <w:rsid w:val="00FA447A"/>
    <w:rsid w:val="00FA4A40"/>
    <w:rsid w:val="00FA4DDF"/>
    <w:rsid w:val="00FA5208"/>
    <w:rsid w:val="00FA59E5"/>
    <w:rsid w:val="00FA68DC"/>
    <w:rsid w:val="00FA6E7F"/>
    <w:rsid w:val="00FA7114"/>
    <w:rsid w:val="00FB0826"/>
    <w:rsid w:val="00FB15C5"/>
    <w:rsid w:val="00FB2379"/>
    <w:rsid w:val="00FB31C3"/>
    <w:rsid w:val="00FB4A7A"/>
    <w:rsid w:val="00FB4B8A"/>
    <w:rsid w:val="00FB5152"/>
    <w:rsid w:val="00FB59FD"/>
    <w:rsid w:val="00FB680E"/>
    <w:rsid w:val="00FC0065"/>
    <w:rsid w:val="00FC2368"/>
    <w:rsid w:val="00FC3AEE"/>
    <w:rsid w:val="00FC6238"/>
    <w:rsid w:val="00FC78AD"/>
    <w:rsid w:val="00FD0D70"/>
    <w:rsid w:val="00FD1E00"/>
    <w:rsid w:val="00FD24AA"/>
    <w:rsid w:val="00FD33FC"/>
    <w:rsid w:val="00FD3730"/>
    <w:rsid w:val="00FD3A9B"/>
    <w:rsid w:val="00FD3ADE"/>
    <w:rsid w:val="00FD3B08"/>
    <w:rsid w:val="00FD436C"/>
    <w:rsid w:val="00FD4806"/>
    <w:rsid w:val="00FD4BA4"/>
    <w:rsid w:val="00FD534E"/>
    <w:rsid w:val="00FD56C7"/>
    <w:rsid w:val="00FD5CBB"/>
    <w:rsid w:val="00FD5FC0"/>
    <w:rsid w:val="00FD6B74"/>
    <w:rsid w:val="00FD70AE"/>
    <w:rsid w:val="00FD70E5"/>
    <w:rsid w:val="00FE002E"/>
    <w:rsid w:val="00FE04B0"/>
    <w:rsid w:val="00FE04EB"/>
    <w:rsid w:val="00FE2398"/>
    <w:rsid w:val="00FE2F15"/>
    <w:rsid w:val="00FE515A"/>
    <w:rsid w:val="00FE5624"/>
    <w:rsid w:val="00FE5D2C"/>
    <w:rsid w:val="00FE5FBF"/>
    <w:rsid w:val="00FE6C25"/>
    <w:rsid w:val="00FF000F"/>
    <w:rsid w:val="00FF033A"/>
    <w:rsid w:val="00FF035A"/>
    <w:rsid w:val="00FF0964"/>
    <w:rsid w:val="00FF0CD0"/>
    <w:rsid w:val="00FF1448"/>
    <w:rsid w:val="00FF16F2"/>
    <w:rsid w:val="00FF1D24"/>
    <w:rsid w:val="00FF2A3C"/>
    <w:rsid w:val="00FF2B42"/>
    <w:rsid w:val="00FF3B7F"/>
    <w:rsid w:val="00FF6260"/>
    <w:rsid w:val="00FF6822"/>
    <w:rsid w:val="00FF6922"/>
    <w:rsid w:val="00FF73D0"/>
    <w:rsid w:val="01EC3F3E"/>
    <w:rsid w:val="088190D0"/>
    <w:rsid w:val="0FA5B070"/>
    <w:rsid w:val="0FDC08DB"/>
    <w:rsid w:val="11295493"/>
    <w:rsid w:val="14D5A090"/>
    <w:rsid w:val="17124F94"/>
    <w:rsid w:val="1755B173"/>
    <w:rsid w:val="19157C9F"/>
    <w:rsid w:val="19D88409"/>
    <w:rsid w:val="1A928BB7"/>
    <w:rsid w:val="1CEFF1BD"/>
    <w:rsid w:val="1DD1CBDA"/>
    <w:rsid w:val="243C2A3B"/>
    <w:rsid w:val="25EB99CE"/>
    <w:rsid w:val="320AFB50"/>
    <w:rsid w:val="34B8A9D4"/>
    <w:rsid w:val="376FBA12"/>
    <w:rsid w:val="39FD2257"/>
    <w:rsid w:val="3DBA60F8"/>
    <w:rsid w:val="3E8E3440"/>
    <w:rsid w:val="41147149"/>
    <w:rsid w:val="416A703E"/>
    <w:rsid w:val="4A8C8970"/>
    <w:rsid w:val="4EBEF9C7"/>
    <w:rsid w:val="50C9A22D"/>
    <w:rsid w:val="50F6EDAA"/>
    <w:rsid w:val="55D9BF88"/>
    <w:rsid w:val="57A2373E"/>
    <w:rsid w:val="5887D713"/>
    <w:rsid w:val="5B045815"/>
    <w:rsid w:val="5BD97AF7"/>
    <w:rsid w:val="5F52755C"/>
    <w:rsid w:val="62A17198"/>
    <w:rsid w:val="690F462C"/>
    <w:rsid w:val="69ABBA13"/>
    <w:rsid w:val="6BED8D6C"/>
    <w:rsid w:val="6ED72757"/>
    <w:rsid w:val="70FB8CF9"/>
    <w:rsid w:val="7193A0B0"/>
    <w:rsid w:val="75131494"/>
    <w:rsid w:val="75635E82"/>
    <w:rsid w:val="76DD4435"/>
    <w:rsid w:val="799962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2D7AF92"/>
  <w15:docId w15:val="{21546299-C354-46E8-880F-F32112223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Lista1,??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semiHidden/>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
    <w:basedOn w:val="DefaultParagraphFont"/>
    <w:link w:val="Header"/>
    <w:rsid w:val="00C43547"/>
    <w:rPr>
      <w:rFonts w:ascii="Arial" w:hAnsi="Arial"/>
      <w:b/>
      <w:noProof/>
      <w:sz w:val="18"/>
    </w:rPr>
  </w:style>
  <w:style w:type="character" w:customStyle="1" w:styleId="THChar">
    <w:name w:val="TH Char"/>
    <w:link w:val="TH"/>
    <w:rsid w:val="00AB6F48"/>
    <w:rPr>
      <w:rFonts w:ascii="Arial" w:hAnsi="Arial"/>
      <w:b/>
      <w:lang w:val="en-GB"/>
    </w:rPr>
  </w:style>
  <w:style w:type="character" w:customStyle="1" w:styleId="TACChar">
    <w:name w:val="TAC Char"/>
    <w:link w:val="TAC"/>
    <w:locked/>
    <w:rsid w:val="00AB6F48"/>
    <w:rPr>
      <w:rFonts w:ascii="Arial" w:hAnsi="Arial"/>
      <w:sz w:val="18"/>
      <w:lang w:val="en-GB"/>
    </w:rPr>
  </w:style>
  <w:style w:type="character" w:customStyle="1" w:styleId="TAHCar">
    <w:name w:val="TAH Car"/>
    <w:link w:val="TAH"/>
    <w:rsid w:val="00AB6F48"/>
    <w:rPr>
      <w:rFonts w:ascii="Arial" w:hAnsi="Arial"/>
      <w:b/>
      <w:sz w:val="18"/>
      <w:lang w:val="en-GB"/>
    </w:rPr>
  </w:style>
  <w:style w:type="character" w:customStyle="1" w:styleId="Heading2Char">
    <w:name w:val="Heading 2 Char"/>
    <w:aliases w:val="H2 Char,h2 Char,DO NOT USE_h2 Char,h21 Char,Heading 2 3GPP Char"/>
    <w:basedOn w:val="DefaultParagraphFont"/>
    <w:link w:val="Heading2"/>
    <w:rsid w:val="00C214B4"/>
    <w:rPr>
      <w:rFonts w:ascii="Arial" w:hAnsi="Arial"/>
      <w:sz w:val="32"/>
      <w:lang w:val="en-GB"/>
    </w:rPr>
  </w:style>
  <w:style w:type="paragraph" w:customStyle="1" w:styleId="NewApplicaL1">
    <w:name w:val="NewApplica_L1"/>
    <w:basedOn w:val="Normal"/>
    <w:next w:val="BodyText"/>
    <w:rsid w:val="00FB15C5"/>
    <w:pPr>
      <w:widowControl w:val="0"/>
      <w:numPr>
        <w:numId w:val="46"/>
      </w:numPr>
      <w:overflowPunct/>
      <w:autoSpaceDE/>
      <w:autoSpaceDN/>
      <w:adjustRightInd/>
      <w:spacing w:after="240" w:line="360" w:lineRule="auto"/>
      <w:jc w:val="both"/>
      <w:textAlignment w:val="auto"/>
      <w:outlineLvl w:val="0"/>
    </w:pPr>
    <w:rPr>
      <w:rFonts w:eastAsia="DengXian"/>
      <w:sz w:val="24"/>
      <w:lang w:val="en-US"/>
    </w:rPr>
  </w:style>
  <w:style w:type="paragraph" w:customStyle="1" w:styleId="NewApplicaL2">
    <w:name w:val="NewApplica_L2"/>
    <w:basedOn w:val="NewApplicaL1"/>
    <w:next w:val="BodyText"/>
    <w:rsid w:val="00FB15C5"/>
    <w:pPr>
      <w:widowControl/>
      <w:numPr>
        <w:ilvl w:val="1"/>
      </w:numPr>
      <w:outlineLvl w:val="1"/>
    </w:pPr>
  </w:style>
  <w:style w:type="paragraph" w:customStyle="1" w:styleId="NewApplicaL3">
    <w:name w:val="NewApplica_L3"/>
    <w:basedOn w:val="NewApplicaL2"/>
    <w:next w:val="BodyText"/>
    <w:rsid w:val="00FB15C5"/>
    <w:pPr>
      <w:numPr>
        <w:ilvl w:val="2"/>
      </w:numPr>
      <w:outlineLvl w:val="2"/>
    </w:pPr>
  </w:style>
  <w:style w:type="paragraph" w:customStyle="1" w:styleId="NewApplicaL4">
    <w:name w:val="NewApplica_L4"/>
    <w:basedOn w:val="NewApplicaL3"/>
    <w:next w:val="BodyText"/>
    <w:rsid w:val="00FB15C5"/>
    <w:pPr>
      <w:numPr>
        <w:ilvl w:val="3"/>
      </w:numPr>
      <w:spacing w:line="240" w:lineRule="auto"/>
      <w:jc w:val="left"/>
      <w:outlineLvl w:val="3"/>
    </w:pPr>
  </w:style>
  <w:style w:type="paragraph" w:customStyle="1" w:styleId="NewApplicaL5">
    <w:name w:val="NewApplica_L5"/>
    <w:basedOn w:val="NewApplicaL4"/>
    <w:next w:val="BodyText"/>
    <w:rsid w:val="00FB15C5"/>
    <w:pPr>
      <w:numPr>
        <w:ilvl w:val="4"/>
      </w:numPr>
      <w:outlineLvl w:val="4"/>
    </w:pPr>
  </w:style>
  <w:style w:type="paragraph" w:customStyle="1" w:styleId="NewApplicaL6">
    <w:name w:val="NewApplica_L6"/>
    <w:basedOn w:val="NewApplicaL5"/>
    <w:next w:val="BodyText"/>
    <w:rsid w:val="00FB15C5"/>
    <w:pPr>
      <w:numPr>
        <w:ilvl w:val="5"/>
      </w:numPr>
      <w:outlineLvl w:val="5"/>
    </w:pPr>
  </w:style>
  <w:style w:type="paragraph" w:customStyle="1" w:styleId="NewApplicaL7">
    <w:name w:val="NewApplica_L7"/>
    <w:basedOn w:val="NewApplicaL6"/>
    <w:next w:val="BodyText"/>
    <w:rsid w:val="00FB15C5"/>
    <w:pPr>
      <w:numPr>
        <w:ilvl w:val="6"/>
      </w:numPr>
      <w:outlineLvl w:val="6"/>
    </w:pPr>
  </w:style>
  <w:style w:type="paragraph" w:customStyle="1" w:styleId="NewApplicaL8">
    <w:name w:val="NewApplica_L8"/>
    <w:basedOn w:val="NewApplicaL7"/>
    <w:next w:val="BodyText"/>
    <w:rsid w:val="00FB15C5"/>
    <w:pPr>
      <w:numPr>
        <w:ilvl w:val="7"/>
      </w:numPr>
      <w:outlineLvl w:val="7"/>
    </w:pPr>
  </w:style>
  <w:style w:type="paragraph" w:customStyle="1" w:styleId="NewApplicaL9">
    <w:name w:val="NewApplica_L9"/>
    <w:basedOn w:val="NewApplicaL8"/>
    <w:next w:val="BodyText"/>
    <w:rsid w:val="00FB15C5"/>
    <w:pPr>
      <w:numPr>
        <w:ilvl w:val="8"/>
      </w:numPr>
      <w:outlineLvl w:val="8"/>
    </w:pPr>
  </w:style>
  <w:style w:type="paragraph" w:customStyle="1" w:styleId="bullet">
    <w:name w:val="bullet"/>
    <w:basedOn w:val="ListParagraph"/>
    <w:link w:val="bulletChar"/>
    <w:qFormat/>
    <w:rsid w:val="00A3184A"/>
    <w:pPr>
      <w:widowControl w:val="0"/>
      <w:numPr>
        <w:numId w:val="50"/>
      </w:numPr>
      <w:spacing w:after="60"/>
      <w:jc w:val="both"/>
    </w:pPr>
    <w:rPr>
      <w:rFonts w:eastAsia="Times New Roman"/>
      <w:kern w:val="2"/>
      <w:sz w:val="20"/>
      <w:lang w:val="en-GB" w:eastAsia="en-US"/>
    </w:rPr>
  </w:style>
  <w:style w:type="character" w:customStyle="1" w:styleId="bulletChar">
    <w:name w:val="bullet Char"/>
    <w:link w:val="bullet"/>
    <w:rsid w:val="00A3184A"/>
    <w:rPr>
      <w:rFonts w:ascii="Times New Roman" w:eastAsia="Times New Roman" w:hAnsi="Times New Roman"/>
      <w:kern w:val="2"/>
      <w:szCs w:val="24"/>
      <w:lang w:val="en-GB"/>
    </w:rPr>
  </w:style>
  <w:style w:type="character" w:customStyle="1" w:styleId="normaltextrun1">
    <w:name w:val="normaltextrun1"/>
    <w:basedOn w:val="DefaultParagraphFont"/>
    <w:rsid w:val="000F7F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0020981">
      <w:bodyDiv w:val="1"/>
      <w:marLeft w:val="0"/>
      <w:marRight w:val="0"/>
      <w:marTop w:val="0"/>
      <w:marBottom w:val="0"/>
      <w:divBdr>
        <w:top w:val="none" w:sz="0" w:space="0" w:color="auto"/>
        <w:left w:val="none" w:sz="0" w:space="0" w:color="auto"/>
        <w:bottom w:val="none" w:sz="0" w:space="0" w:color="auto"/>
        <w:right w:val="none" w:sz="0" w:space="0" w:color="auto"/>
      </w:divBdr>
      <w:divsChild>
        <w:div w:id="352220919">
          <w:marLeft w:val="1080"/>
          <w:marRight w:val="0"/>
          <w:marTop w:val="0"/>
          <w:marBottom w:val="120"/>
          <w:divBdr>
            <w:top w:val="none" w:sz="0" w:space="0" w:color="auto"/>
            <w:left w:val="none" w:sz="0" w:space="0" w:color="auto"/>
            <w:bottom w:val="none" w:sz="0" w:space="0" w:color="auto"/>
            <w:right w:val="none" w:sz="0" w:space="0" w:color="auto"/>
          </w:divBdr>
        </w:div>
        <w:div w:id="716659789">
          <w:marLeft w:val="720"/>
          <w:marRight w:val="0"/>
          <w:marTop w:val="0"/>
          <w:marBottom w:val="120"/>
          <w:divBdr>
            <w:top w:val="none" w:sz="0" w:space="0" w:color="auto"/>
            <w:left w:val="none" w:sz="0" w:space="0" w:color="auto"/>
            <w:bottom w:val="none" w:sz="0" w:space="0" w:color="auto"/>
            <w:right w:val="none" w:sz="0" w:space="0" w:color="auto"/>
          </w:divBdr>
        </w:div>
        <w:div w:id="927887285">
          <w:marLeft w:val="1080"/>
          <w:marRight w:val="0"/>
          <w:marTop w:val="0"/>
          <w:marBottom w:val="120"/>
          <w:divBdr>
            <w:top w:val="none" w:sz="0" w:space="0" w:color="auto"/>
            <w:left w:val="none" w:sz="0" w:space="0" w:color="auto"/>
            <w:bottom w:val="none" w:sz="0" w:space="0" w:color="auto"/>
            <w:right w:val="none" w:sz="0" w:space="0" w:color="auto"/>
          </w:divBdr>
        </w:div>
        <w:div w:id="1326739350">
          <w:marLeft w:val="720"/>
          <w:marRight w:val="0"/>
          <w:marTop w:val="0"/>
          <w:marBottom w:val="120"/>
          <w:divBdr>
            <w:top w:val="none" w:sz="0" w:space="0" w:color="auto"/>
            <w:left w:val="none" w:sz="0" w:space="0" w:color="auto"/>
            <w:bottom w:val="none" w:sz="0" w:space="0" w:color="auto"/>
            <w:right w:val="none" w:sz="0" w:space="0" w:color="auto"/>
          </w:divBdr>
        </w:div>
        <w:div w:id="1338508062">
          <w:marLeft w:val="720"/>
          <w:marRight w:val="0"/>
          <w:marTop w:val="0"/>
          <w:marBottom w:val="120"/>
          <w:divBdr>
            <w:top w:val="none" w:sz="0" w:space="0" w:color="auto"/>
            <w:left w:val="none" w:sz="0" w:space="0" w:color="auto"/>
            <w:bottom w:val="none" w:sz="0" w:space="0" w:color="auto"/>
            <w:right w:val="none" w:sz="0" w:space="0" w:color="auto"/>
          </w:divBdr>
        </w:div>
        <w:div w:id="1750925435">
          <w:marLeft w:val="720"/>
          <w:marRight w:val="0"/>
          <w:marTop w:val="0"/>
          <w:marBottom w:val="120"/>
          <w:divBdr>
            <w:top w:val="none" w:sz="0" w:space="0" w:color="auto"/>
            <w:left w:val="none" w:sz="0" w:space="0" w:color="auto"/>
            <w:bottom w:val="none" w:sz="0" w:space="0" w:color="auto"/>
            <w:right w:val="none" w:sz="0" w:space="0" w:color="auto"/>
          </w:divBdr>
        </w:div>
      </w:divsChild>
    </w:div>
    <w:div w:id="277176378">
      <w:bodyDiv w:val="1"/>
      <w:marLeft w:val="0"/>
      <w:marRight w:val="0"/>
      <w:marTop w:val="0"/>
      <w:marBottom w:val="0"/>
      <w:divBdr>
        <w:top w:val="none" w:sz="0" w:space="0" w:color="auto"/>
        <w:left w:val="none" w:sz="0" w:space="0" w:color="auto"/>
        <w:bottom w:val="none" w:sz="0" w:space="0" w:color="auto"/>
        <w:right w:val="none" w:sz="0" w:space="0" w:color="auto"/>
      </w:divBdr>
    </w:div>
    <w:div w:id="322896028">
      <w:bodyDiv w:val="1"/>
      <w:marLeft w:val="0"/>
      <w:marRight w:val="0"/>
      <w:marTop w:val="0"/>
      <w:marBottom w:val="0"/>
      <w:divBdr>
        <w:top w:val="none" w:sz="0" w:space="0" w:color="auto"/>
        <w:left w:val="none" w:sz="0" w:space="0" w:color="auto"/>
        <w:bottom w:val="none" w:sz="0" w:space="0" w:color="auto"/>
        <w:right w:val="none" w:sz="0" w:space="0" w:color="auto"/>
      </w:divBdr>
    </w:div>
    <w:div w:id="333651410">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2558484">
      <w:bodyDiv w:val="1"/>
      <w:marLeft w:val="0"/>
      <w:marRight w:val="0"/>
      <w:marTop w:val="0"/>
      <w:marBottom w:val="0"/>
      <w:divBdr>
        <w:top w:val="none" w:sz="0" w:space="0" w:color="auto"/>
        <w:left w:val="none" w:sz="0" w:space="0" w:color="auto"/>
        <w:bottom w:val="none" w:sz="0" w:space="0" w:color="auto"/>
        <w:right w:val="none" w:sz="0" w:space="0" w:color="auto"/>
      </w:divBdr>
      <w:divsChild>
        <w:div w:id="116027142">
          <w:marLeft w:val="1080"/>
          <w:marRight w:val="0"/>
          <w:marTop w:val="0"/>
          <w:marBottom w:val="120"/>
          <w:divBdr>
            <w:top w:val="none" w:sz="0" w:space="0" w:color="auto"/>
            <w:left w:val="none" w:sz="0" w:space="0" w:color="auto"/>
            <w:bottom w:val="none" w:sz="0" w:space="0" w:color="auto"/>
            <w:right w:val="none" w:sz="0" w:space="0" w:color="auto"/>
          </w:divBdr>
        </w:div>
        <w:div w:id="477840372">
          <w:marLeft w:val="720"/>
          <w:marRight w:val="0"/>
          <w:marTop w:val="0"/>
          <w:marBottom w:val="120"/>
          <w:divBdr>
            <w:top w:val="none" w:sz="0" w:space="0" w:color="auto"/>
            <w:left w:val="none" w:sz="0" w:space="0" w:color="auto"/>
            <w:bottom w:val="none" w:sz="0" w:space="0" w:color="auto"/>
            <w:right w:val="none" w:sz="0" w:space="0" w:color="auto"/>
          </w:divBdr>
        </w:div>
        <w:div w:id="710810913">
          <w:marLeft w:val="1080"/>
          <w:marRight w:val="0"/>
          <w:marTop w:val="0"/>
          <w:marBottom w:val="120"/>
          <w:divBdr>
            <w:top w:val="none" w:sz="0" w:space="0" w:color="auto"/>
            <w:left w:val="none" w:sz="0" w:space="0" w:color="auto"/>
            <w:bottom w:val="none" w:sz="0" w:space="0" w:color="auto"/>
            <w:right w:val="none" w:sz="0" w:space="0" w:color="auto"/>
          </w:divBdr>
        </w:div>
        <w:div w:id="744111755">
          <w:marLeft w:val="720"/>
          <w:marRight w:val="0"/>
          <w:marTop w:val="0"/>
          <w:marBottom w:val="120"/>
          <w:divBdr>
            <w:top w:val="none" w:sz="0" w:space="0" w:color="auto"/>
            <w:left w:val="none" w:sz="0" w:space="0" w:color="auto"/>
            <w:bottom w:val="none" w:sz="0" w:space="0" w:color="auto"/>
            <w:right w:val="none" w:sz="0" w:space="0" w:color="auto"/>
          </w:divBdr>
        </w:div>
        <w:div w:id="1326978718">
          <w:marLeft w:val="720"/>
          <w:marRight w:val="0"/>
          <w:marTop w:val="0"/>
          <w:marBottom w:val="120"/>
          <w:divBdr>
            <w:top w:val="none" w:sz="0" w:space="0" w:color="auto"/>
            <w:left w:val="none" w:sz="0" w:space="0" w:color="auto"/>
            <w:bottom w:val="none" w:sz="0" w:space="0" w:color="auto"/>
            <w:right w:val="none" w:sz="0" w:space="0" w:color="auto"/>
          </w:divBdr>
        </w:div>
        <w:div w:id="1830710333">
          <w:marLeft w:val="720"/>
          <w:marRight w:val="0"/>
          <w:marTop w:val="0"/>
          <w:marBottom w:val="120"/>
          <w:divBdr>
            <w:top w:val="none" w:sz="0" w:space="0" w:color="auto"/>
            <w:left w:val="none" w:sz="0" w:space="0" w:color="auto"/>
            <w:bottom w:val="none" w:sz="0" w:space="0" w:color="auto"/>
            <w:right w:val="none" w:sz="0" w:space="0" w:color="auto"/>
          </w:divBdr>
        </w:div>
      </w:divsChild>
    </w:div>
    <w:div w:id="457842007">
      <w:bodyDiv w:val="1"/>
      <w:marLeft w:val="0"/>
      <w:marRight w:val="0"/>
      <w:marTop w:val="0"/>
      <w:marBottom w:val="0"/>
      <w:divBdr>
        <w:top w:val="none" w:sz="0" w:space="0" w:color="auto"/>
        <w:left w:val="none" w:sz="0" w:space="0" w:color="auto"/>
        <w:bottom w:val="none" w:sz="0" w:space="0" w:color="auto"/>
        <w:right w:val="none" w:sz="0" w:space="0" w:color="auto"/>
      </w:divBdr>
      <w:divsChild>
        <w:div w:id="887573610">
          <w:marLeft w:val="806"/>
          <w:marRight w:val="0"/>
          <w:marTop w:val="0"/>
          <w:marBottom w:val="120"/>
          <w:divBdr>
            <w:top w:val="none" w:sz="0" w:space="0" w:color="auto"/>
            <w:left w:val="none" w:sz="0" w:space="0" w:color="auto"/>
            <w:bottom w:val="none" w:sz="0" w:space="0" w:color="auto"/>
            <w:right w:val="none" w:sz="0" w:space="0" w:color="auto"/>
          </w:divBdr>
        </w:div>
        <w:div w:id="1684740996">
          <w:marLeft w:val="806"/>
          <w:marRight w:val="0"/>
          <w:marTop w:val="0"/>
          <w:marBottom w:val="120"/>
          <w:divBdr>
            <w:top w:val="none" w:sz="0" w:space="0" w:color="auto"/>
            <w:left w:val="none" w:sz="0" w:space="0" w:color="auto"/>
            <w:bottom w:val="none" w:sz="0" w:space="0" w:color="auto"/>
            <w:right w:val="none" w:sz="0" w:space="0" w:color="auto"/>
          </w:divBdr>
        </w:div>
      </w:divsChild>
    </w:div>
    <w:div w:id="460995666">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3321289">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21168846">
      <w:bodyDiv w:val="1"/>
      <w:marLeft w:val="0"/>
      <w:marRight w:val="0"/>
      <w:marTop w:val="0"/>
      <w:marBottom w:val="0"/>
      <w:divBdr>
        <w:top w:val="none" w:sz="0" w:space="0" w:color="auto"/>
        <w:left w:val="none" w:sz="0" w:space="0" w:color="auto"/>
        <w:bottom w:val="none" w:sz="0" w:space="0" w:color="auto"/>
        <w:right w:val="none" w:sz="0" w:space="0" w:color="auto"/>
      </w:divBdr>
      <w:divsChild>
        <w:div w:id="559636577">
          <w:marLeft w:val="1166"/>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007328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8101104">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1807488">
      <w:bodyDiv w:val="1"/>
      <w:marLeft w:val="0"/>
      <w:marRight w:val="0"/>
      <w:marTop w:val="0"/>
      <w:marBottom w:val="0"/>
      <w:divBdr>
        <w:top w:val="none" w:sz="0" w:space="0" w:color="auto"/>
        <w:left w:val="none" w:sz="0" w:space="0" w:color="auto"/>
        <w:bottom w:val="none" w:sz="0" w:space="0" w:color="auto"/>
        <w:right w:val="none" w:sz="0" w:space="0" w:color="auto"/>
      </w:divBdr>
      <w:divsChild>
        <w:div w:id="154415807">
          <w:marLeft w:val="1166"/>
          <w:marRight w:val="0"/>
          <w:marTop w:val="0"/>
          <w:marBottom w:val="0"/>
          <w:divBdr>
            <w:top w:val="none" w:sz="0" w:space="0" w:color="auto"/>
            <w:left w:val="none" w:sz="0" w:space="0" w:color="auto"/>
            <w:bottom w:val="none" w:sz="0" w:space="0" w:color="auto"/>
            <w:right w:val="none" w:sz="0" w:space="0" w:color="auto"/>
          </w:divBdr>
        </w:div>
        <w:div w:id="195192988">
          <w:marLeft w:val="547"/>
          <w:marRight w:val="0"/>
          <w:marTop w:val="0"/>
          <w:marBottom w:val="0"/>
          <w:divBdr>
            <w:top w:val="none" w:sz="0" w:space="0" w:color="auto"/>
            <w:left w:val="none" w:sz="0" w:space="0" w:color="auto"/>
            <w:bottom w:val="none" w:sz="0" w:space="0" w:color="auto"/>
            <w:right w:val="none" w:sz="0" w:space="0" w:color="auto"/>
          </w:divBdr>
        </w:div>
        <w:div w:id="339770958">
          <w:marLeft w:val="2520"/>
          <w:marRight w:val="0"/>
          <w:marTop w:val="0"/>
          <w:marBottom w:val="0"/>
          <w:divBdr>
            <w:top w:val="none" w:sz="0" w:space="0" w:color="auto"/>
            <w:left w:val="none" w:sz="0" w:space="0" w:color="auto"/>
            <w:bottom w:val="none" w:sz="0" w:space="0" w:color="auto"/>
            <w:right w:val="none" w:sz="0" w:space="0" w:color="auto"/>
          </w:divBdr>
        </w:div>
        <w:div w:id="764157152">
          <w:marLeft w:val="547"/>
          <w:marRight w:val="0"/>
          <w:marTop w:val="0"/>
          <w:marBottom w:val="0"/>
          <w:divBdr>
            <w:top w:val="none" w:sz="0" w:space="0" w:color="auto"/>
            <w:left w:val="none" w:sz="0" w:space="0" w:color="auto"/>
            <w:bottom w:val="none" w:sz="0" w:space="0" w:color="auto"/>
            <w:right w:val="none" w:sz="0" w:space="0" w:color="auto"/>
          </w:divBdr>
        </w:div>
        <w:div w:id="845554572">
          <w:marLeft w:val="2520"/>
          <w:marRight w:val="0"/>
          <w:marTop w:val="0"/>
          <w:marBottom w:val="0"/>
          <w:divBdr>
            <w:top w:val="none" w:sz="0" w:space="0" w:color="auto"/>
            <w:left w:val="none" w:sz="0" w:space="0" w:color="auto"/>
            <w:bottom w:val="none" w:sz="0" w:space="0" w:color="auto"/>
            <w:right w:val="none" w:sz="0" w:space="0" w:color="auto"/>
          </w:divBdr>
        </w:div>
        <w:div w:id="1334258866">
          <w:marLeft w:val="1800"/>
          <w:marRight w:val="0"/>
          <w:marTop w:val="0"/>
          <w:marBottom w:val="0"/>
          <w:divBdr>
            <w:top w:val="none" w:sz="0" w:space="0" w:color="auto"/>
            <w:left w:val="none" w:sz="0" w:space="0" w:color="auto"/>
            <w:bottom w:val="none" w:sz="0" w:space="0" w:color="auto"/>
            <w:right w:val="none" w:sz="0" w:space="0" w:color="auto"/>
          </w:divBdr>
        </w:div>
        <w:div w:id="1450078919">
          <w:marLeft w:val="2520"/>
          <w:marRight w:val="0"/>
          <w:marTop w:val="0"/>
          <w:marBottom w:val="0"/>
          <w:divBdr>
            <w:top w:val="none" w:sz="0" w:space="0" w:color="auto"/>
            <w:left w:val="none" w:sz="0" w:space="0" w:color="auto"/>
            <w:bottom w:val="none" w:sz="0" w:space="0" w:color="auto"/>
            <w:right w:val="none" w:sz="0" w:space="0" w:color="auto"/>
          </w:divBdr>
        </w:div>
        <w:div w:id="1574468032">
          <w:marLeft w:val="1166"/>
          <w:marRight w:val="0"/>
          <w:marTop w:val="0"/>
          <w:marBottom w:val="0"/>
          <w:divBdr>
            <w:top w:val="none" w:sz="0" w:space="0" w:color="auto"/>
            <w:left w:val="none" w:sz="0" w:space="0" w:color="auto"/>
            <w:bottom w:val="none" w:sz="0" w:space="0" w:color="auto"/>
            <w:right w:val="none" w:sz="0" w:space="0" w:color="auto"/>
          </w:divBdr>
        </w:div>
        <w:div w:id="1604149264">
          <w:marLeft w:val="1800"/>
          <w:marRight w:val="0"/>
          <w:marTop w:val="0"/>
          <w:marBottom w:val="0"/>
          <w:divBdr>
            <w:top w:val="none" w:sz="0" w:space="0" w:color="auto"/>
            <w:left w:val="none" w:sz="0" w:space="0" w:color="auto"/>
            <w:bottom w:val="none" w:sz="0" w:space="0" w:color="auto"/>
            <w:right w:val="none" w:sz="0" w:space="0" w:color="auto"/>
          </w:divBdr>
        </w:div>
        <w:div w:id="2058815657">
          <w:marLeft w:val="1800"/>
          <w:marRight w:val="0"/>
          <w:marTop w:val="0"/>
          <w:marBottom w:val="0"/>
          <w:divBdr>
            <w:top w:val="none" w:sz="0" w:space="0" w:color="auto"/>
            <w:left w:val="none" w:sz="0" w:space="0" w:color="auto"/>
            <w:bottom w:val="none" w:sz="0" w:space="0" w:color="auto"/>
            <w:right w:val="none" w:sz="0" w:space="0" w:color="auto"/>
          </w:divBdr>
        </w:div>
        <w:div w:id="2067951702">
          <w:marLeft w:val="1800"/>
          <w:marRight w:val="0"/>
          <w:marTop w:val="0"/>
          <w:marBottom w:val="0"/>
          <w:divBdr>
            <w:top w:val="none" w:sz="0" w:space="0" w:color="auto"/>
            <w:left w:val="none" w:sz="0" w:space="0" w:color="auto"/>
            <w:bottom w:val="none" w:sz="0" w:space="0" w:color="auto"/>
            <w:right w:val="none" w:sz="0" w:space="0" w:color="auto"/>
          </w:divBdr>
        </w:div>
        <w:div w:id="2117678323">
          <w:marLeft w:val="1166"/>
          <w:marRight w:val="0"/>
          <w:marTop w:val="0"/>
          <w:marBottom w:val="0"/>
          <w:divBdr>
            <w:top w:val="none" w:sz="0" w:space="0" w:color="auto"/>
            <w:left w:val="none" w:sz="0" w:space="0" w:color="auto"/>
            <w:bottom w:val="none" w:sz="0" w:space="0" w:color="auto"/>
            <w:right w:val="none" w:sz="0" w:space="0" w:color="auto"/>
          </w:divBdr>
        </w:div>
      </w:divsChild>
    </w:div>
    <w:div w:id="994603463">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0721232">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40125515">
      <w:bodyDiv w:val="1"/>
      <w:marLeft w:val="0"/>
      <w:marRight w:val="0"/>
      <w:marTop w:val="0"/>
      <w:marBottom w:val="0"/>
      <w:divBdr>
        <w:top w:val="none" w:sz="0" w:space="0" w:color="auto"/>
        <w:left w:val="none" w:sz="0" w:space="0" w:color="auto"/>
        <w:bottom w:val="none" w:sz="0" w:space="0" w:color="auto"/>
        <w:right w:val="none" w:sz="0" w:space="0" w:color="auto"/>
      </w:divBdr>
      <w:divsChild>
        <w:div w:id="2779858">
          <w:marLeft w:val="2520"/>
          <w:marRight w:val="0"/>
          <w:marTop w:val="0"/>
          <w:marBottom w:val="0"/>
          <w:divBdr>
            <w:top w:val="none" w:sz="0" w:space="0" w:color="auto"/>
            <w:left w:val="none" w:sz="0" w:space="0" w:color="auto"/>
            <w:bottom w:val="none" w:sz="0" w:space="0" w:color="auto"/>
            <w:right w:val="none" w:sz="0" w:space="0" w:color="auto"/>
          </w:divBdr>
        </w:div>
        <w:div w:id="27223891">
          <w:marLeft w:val="1166"/>
          <w:marRight w:val="0"/>
          <w:marTop w:val="0"/>
          <w:marBottom w:val="0"/>
          <w:divBdr>
            <w:top w:val="none" w:sz="0" w:space="0" w:color="auto"/>
            <w:left w:val="none" w:sz="0" w:space="0" w:color="auto"/>
            <w:bottom w:val="none" w:sz="0" w:space="0" w:color="auto"/>
            <w:right w:val="none" w:sz="0" w:space="0" w:color="auto"/>
          </w:divBdr>
        </w:div>
        <w:div w:id="89081933">
          <w:marLeft w:val="1166"/>
          <w:marRight w:val="0"/>
          <w:marTop w:val="0"/>
          <w:marBottom w:val="0"/>
          <w:divBdr>
            <w:top w:val="none" w:sz="0" w:space="0" w:color="auto"/>
            <w:left w:val="none" w:sz="0" w:space="0" w:color="auto"/>
            <w:bottom w:val="none" w:sz="0" w:space="0" w:color="auto"/>
            <w:right w:val="none" w:sz="0" w:space="0" w:color="auto"/>
          </w:divBdr>
        </w:div>
        <w:div w:id="420026613">
          <w:marLeft w:val="547"/>
          <w:marRight w:val="0"/>
          <w:marTop w:val="0"/>
          <w:marBottom w:val="0"/>
          <w:divBdr>
            <w:top w:val="none" w:sz="0" w:space="0" w:color="auto"/>
            <w:left w:val="none" w:sz="0" w:space="0" w:color="auto"/>
            <w:bottom w:val="none" w:sz="0" w:space="0" w:color="auto"/>
            <w:right w:val="none" w:sz="0" w:space="0" w:color="auto"/>
          </w:divBdr>
        </w:div>
        <w:div w:id="439229343">
          <w:marLeft w:val="2520"/>
          <w:marRight w:val="0"/>
          <w:marTop w:val="0"/>
          <w:marBottom w:val="0"/>
          <w:divBdr>
            <w:top w:val="none" w:sz="0" w:space="0" w:color="auto"/>
            <w:left w:val="none" w:sz="0" w:space="0" w:color="auto"/>
            <w:bottom w:val="none" w:sz="0" w:space="0" w:color="auto"/>
            <w:right w:val="none" w:sz="0" w:space="0" w:color="auto"/>
          </w:divBdr>
        </w:div>
        <w:div w:id="488596364">
          <w:marLeft w:val="547"/>
          <w:marRight w:val="0"/>
          <w:marTop w:val="0"/>
          <w:marBottom w:val="0"/>
          <w:divBdr>
            <w:top w:val="none" w:sz="0" w:space="0" w:color="auto"/>
            <w:left w:val="none" w:sz="0" w:space="0" w:color="auto"/>
            <w:bottom w:val="none" w:sz="0" w:space="0" w:color="auto"/>
            <w:right w:val="none" w:sz="0" w:space="0" w:color="auto"/>
          </w:divBdr>
        </w:div>
        <w:div w:id="742139126">
          <w:marLeft w:val="1800"/>
          <w:marRight w:val="0"/>
          <w:marTop w:val="0"/>
          <w:marBottom w:val="0"/>
          <w:divBdr>
            <w:top w:val="none" w:sz="0" w:space="0" w:color="auto"/>
            <w:left w:val="none" w:sz="0" w:space="0" w:color="auto"/>
            <w:bottom w:val="none" w:sz="0" w:space="0" w:color="auto"/>
            <w:right w:val="none" w:sz="0" w:space="0" w:color="auto"/>
          </w:divBdr>
        </w:div>
        <w:div w:id="990018400">
          <w:marLeft w:val="1800"/>
          <w:marRight w:val="0"/>
          <w:marTop w:val="0"/>
          <w:marBottom w:val="0"/>
          <w:divBdr>
            <w:top w:val="none" w:sz="0" w:space="0" w:color="auto"/>
            <w:left w:val="none" w:sz="0" w:space="0" w:color="auto"/>
            <w:bottom w:val="none" w:sz="0" w:space="0" w:color="auto"/>
            <w:right w:val="none" w:sz="0" w:space="0" w:color="auto"/>
          </w:divBdr>
        </w:div>
        <w:div w:id="1337264811">
          <w:marLeft w:val="2520"/>
          <w:marRight w:val="0"/>
          <w:marTop w:val="0"/>
          <w:marBottom w:val="0"/>
          <w:divBdr>
            <w:top w:val="none" w:sz="0" w:space="0" w:color="auto"/>
            <w:left w:val="none" w:sz="0" w:space="0" w:color="auto"/>
            <w:bottom w:val="none" w:sz="0" w:space="0" w:color="auto"/>
            <w:right w:val="none" w:sz="0" w:space="0" w:color="auto"/>
          </w:divBdr>
        </w:div>
        <w:div w:id="1351221862">
          <w:marLeft w:val="1800"/>
          <w:marRight w:val="0"/>
          <w:marTop w:val="0"/>
          <w:marBottom w:val="0"/>
          <w:divBdr>
            <w:top w:val="none" w:sz="0" w:space="0" w:color="auto"/>
            <w:left w:val="none" w:sz="0" w:space="0" w:color="auto"/>
            <w:bottom w:val="none" w:sz="0" w:space="0" w:color="auto"/>
            <w:right w:val="none" w:sz="0" w:space="0" w:color="auto"/>
          </w:divBdr>
        </w:div>
        <w:div w:id="1635910366">
          <w:marLeft w:val="1800"/>
          <w:marRight w:val="0"/>
          <w:marTop w:val="0"/>
          <w:marBottom w:val="0"/>
          <w:divBdr>
            <w:top w:val="none" w:sz="0" w:space="0" w:color="auto"/>
            <w:left w:val="none" w:sz="0" w:space="0" w:color="auto"/>
            <w:bottom w:val="none" w:sz="0" w:space="0" w:color="auto"/>
            <w:right w:val="none" w:sz="0" w:space="0" w:color="auto"/>
          </w:divBdr>
        </w:div>
        <w:div w:id="1722440318">
          <w:marLeft w:val="1166"/>
          <w:marRight w:val="0"/>
          <w:marTop w:val="0"/>
          <w:marBottom w:val="0"/>
          <w:divBdr>
            <w:top w:val="none" w:sz="0" w:space="0" w:color="auto"/>
            <w:left w:val="none" w:sz="0" w:space="0" w:color="auto"/>
            <w:bottom w:val="none" w:sz="0" w:space="0" w:color="auto"/>
            <w:right w:val="none" w:sz="0" w:space="0" w:color="auto"/>
          </w:divBdr>
        </w:div>
      </w:divsChild>
    </w:div>
    <w:div w:id="1046105591">
      <w:bodyDiv w:val="1"/>
      <w:marLeft w:val="0"/>
      <w:marRight w:val="0"/>
      <w:marTop w:val="0"/>
      <w:marBottom w:val="0"/>
      <w:divBdr>
        <w:top w:val="none" w:sz="0" w:space="0" w:color="auto"/>
        <w:left w:val="none" w:sz="0" w:space="0" w:color="auto"/>
        <w:bottom w:val="none" w:sz="0" w:space="0" w:color="auto"/>
        <w:right w:val="none" w:sz="0" w:space="0" w:color="auto"/>
      </w:divBdr>
      <w:divsChild>
        <w:div w:id="2146585974">
          <w:marLeft w:val="1166"/>
          <w:marRight w:val="0"/>
          <w:marTop w:val="0"/>
          <w:marBottom w:val="0"/>
          <w:divBdr>
            <w:top w:val="none" w:sz="0" w:space="0" w:color="auto"/>
            <w:left w:val="none" w:sz="0" w:space="0" w:color="auto"/>
            <w:bottom w:val="none" w:sz="0" w:space="0" w:color="auto"/>
            <w:right w:val="none" w:sz="0" w:space="0" w:color="auto"/>
          </w:divBdr>
        </w:div>
      </w:divsChild>
    </w:div>
    <w:div w:id="1050377067">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64008700">
      <w:bodyDiv w:val="1"/>
      <w:marLeft w:val="0"/>
      <w:marRight w:val="0"/>
      <w:marTop w:val="0"/>
      <w:marBottom w:val="0"/>
      <w:divBdr>
        <w:top w:val="none" w:sz="0" w:space="0" w:color="auto"/>
        <w:left w:val="none" w:sz="0" w:space="0" w:color="auto"/>
        <w:bottom w:val="none" w:sz="0" w:space="0" w:color="auto"/>
        <w:right w:val="none" w:sz="0" w:space="0" w:color="auto"/>
      </w:divBdr>
      <w:divsChild>
        <w:div w:id="258830805">
          <w:marLeft w:val="360"/>
          <w:marRight w:val="0"/>
          <w:marTop w:val="0"/>
          <w:marBottom w:val="120"/>
          <w:divBdr>
            <w:top w:val="none" w:sz="0" w:space="0" w:color="auto"/>
            <w:left w:val="none" w:sz="0" w:space="0" w:color="auto"/>
            <w:bottom w:val="none" w:sz="0" w:space="0" w:color="auto"/>
            <w:right w:val="none" w:sz="0" w:space="0" w:color="auto"/>
          </w:divBdr>
        </w:div>
        <w:div w:id="397634219">
          <w:marLeft w:val="720"/>
          <w:marRight w:val="0"/>
          <w:marTop w:val="0"/>
          <w:marBottom w:val="120"/>
          <w:divBdr>
            <w:top w:val="none" w:sz="0" w:space="0" w:color="auto"/>
            <w:left w:val="none" w:sz="0" w:space="0" w:color="auto"/>
            <w:bottom w:val="none" w:sz="0" w:space="0" w:color="auto"/>
            <w:right w:val="none" w:sz="0" w:space="0" w:color="auto"/>
          </w:divBdr>
        </w:div>
        <w:div w:id="510409848">
          <w:marLeft w:val="720"/>
          <w:marRight w:val="0"/>
          <w:marTop w:val="0"/>
          <w:marBottom w:val="120"/>
          <w:divBdr>
            <w:top w:val="none" w:sz="0" w:space="0" w:color="auto"/>
            <w:left w:val="none" w:sz="0" w:space="0" w:color="auto"/>
            <w:bottom w:val="none" w:sz="0" w:space="0" w:color="auto"/>
            <w:right w:val="none" w:sz="0" w:space="0" w:color="auto"/>
          </w:divBdr>
        </w:div>
        <w:div w:id="1250312707">
          <w:marLeft w:val="720"/>
          <w:marRight w:val="0"/>
          <w:marTop w:val="0"/>
          <w:marBottom w:val="120"/>
          <w:divBdr>
            <w:top w:val="none" w:sz="0" w:space="0" w:color="auto"/>
            <w:left w:val="none" w:sz="0" w:space="0" w:color="auto"/>
            <w:bottom w:val="none" w:sz="0" w:space="0" w:color="auto"/>
            <w:right w:val="none" w:sz="0" w:space="0" w:color="auto"/>
          </w:divBdr>
        </w:div>
      </w:divsChild>
    </w:div>
    <w:div w:id="1203666515">
      <w:bodyDiv w:val="1"/>
      <w:marLeft w:val="0"/>
      <w:marRight w:val="0"/>
      <w:marTop w:val="0"/>
      <w:marBottom w:val="0"/>
      <w:divBdr>
        <w:top w:val="none" w:sz="0" w:space="0" w:color="auto"/>
        <w:left w:val="none" w:sz="0" w:space="0" w:color="auto"/>
        <w:bottom w:val="none" w:sz="0" w:space="0" w:color="auto"/>
        <w:right w:val="none" w:sz="0" w:space="0" w:color="auto"/>
      </w:divBdr>
      <w:divsChild>
        <w:div w:id="205265066">
          <w:marLeft w:val="0"/>
          <w:marRight w:val="0"/>
          <w:marTop w:val="0"/>
          <w:marBottom w:val="0"/>
          <w:divBdr>
            <w:top w:val="none" w:sz="0" w:space="0" w:color="auto"/>
            <w:left w:val="none" w:sz="0" w:space="0" w:color="auto"/>
            <w:bottom w:val="none" w:sz="0" w:space="0" w:color="auto"/>
            <w:right w:val="none" w:sz="0" w:space="0" w:color="auto"/>
          </w:divBdr>
          <w:divsChild>
            <w:div w:id="1435973413">
              <w:marLeft w:val="0"/>
              <w:marRight w:val="0"/>
              <w:marTop w:val="0"/>
              <w:marBottom w:val="0"/>
              <w:divBdr>
                <w:top w:val="none" w:sz="0" w:space="0" w:color="auto"/>
                <w:left w:val="none" w:sz="0" w:space="0" w:color="auto"/>
                <w:bottom w:val="none" w:sz="0" w:space="0" w:color="auto"/>
                <w:right w:val="none" w:sz="0" w:space="0" w:color="auto"/>
              </w:divBdr>
              <w:divsChild>
                <w:div w:id="406852281">
                  <w:marLeft w:val="0"/>
                  <w:marRight w:val="0"/>
                  <w:marTop w:val="0"/>
                  <w:marBottom w:val="0"/>
                  <w:divBdr>
                    <w:top w:val="none" w:sz="0" w:space="0" w:color="auto"/>
                    <w:left w:val="none" w:sz="0" w:space="0" w:color="auto"/>
                    <w:bottom w:val="none" w:sz="0" w:space="0" w:color="auto"/>
                    <w:right w:val="none" w:sz="0" w:space="0" w:color="auto"/>
                  </w:divBdr>
                </w:div>
                <w:div w:id="112492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9366574">
      <w:bodyDiv w:val="1"/>
      <w:marLeft w:val="0"/>
      <w:marRight w:val="0"/>
      <w:marTop w:val="0"/>
      <w:marBottom w:val="0"/>
      <w:divBdr>
        <w:top w:val="none" w:sz="0" w:space="0" w:color="auto"/>
        <w:left w:val="none" w:sz="0" w:space="0" w:color="auto"/>
        <w:bottom w:val="none" w:sz="0" w:space="0" w:color="auto"/>
        <w:right w:val="none" w:sz="0" w:space="0" w:color="auto"/>
      </w:divBdr>
    </w:div>
    <w:div w:id="1268922468">
      <w:bodyDiv w:val="1"/>
      <w:marLeft w:val="0"/>
      <w:marRight w:val="0"/>
      <w:marTop w:val="0"/>
      <w:marBottom w:val="0"/>
      <w:divBdr>
        <w:top w:val="none" w:sz="0" w:space="0" w:color="auto"/>
        <w:left w:val="none" w:sz="0" w:space="0" w:color="auto"/>
        <w:bottom w:val="none" w:sz="0" w:space="0" w:color="auto"/>
        <w:right w:val="none" w:sz="0" w:space="0" w:color="auto"/>
      </w:divBdr>
      <w:divsChild>
        <w:div w:id="188223579">
          <w:marLeft w:val="547"/>
          <w:marRight w:val="0"/>
          <w:marTop w:val="0"/>
          <w:marBottom w:val="0"/>
          <w:divBdr>
            <w:top w:val="none" w:sz="0" w:space="0" w:color="auto"/>
            <w:left w:val="none" w:sz="0" w:space="0" w:color="auto"/>
            <w:bottom w:val="none" w:sz="0" w:space="0" w:color="auto"/>
            <w:right w:val="none" w:sz="0" w:space="0" w:color="auto"/>
          </w:divBdr>
        </w:div>
        <w:div w:id="351692594">
          <w:marLeft w:val="360"/>
          <w:marRight w:val="0"/>
          <w:marTop w:val="0"/>
          <w:marBottom w:val="0"/>
          <w:divBdr>
            <w:top w:val="none" w:sz="0" w:space="0" w:color="auto"/>
            <w:left w:val="none" w:sz="0" w:space="0" w:color="auto"/>
            <w:bottom w:val="none" w:sz="0" w:space="0" w:color="auto"/>
            <w:right w:val="none" w:sz="0" w:space="0" w:color="auto"/>
          </w:divBdr>
        </w:div>
        <w:div w:id="498884917">
          <w:marLeft w:val="1166"/>
          <w:marRight w:val="0"/>
          <w:marTop w:val="0"/>
          <w:marBottom w:val="0"/>
          <w:divBdr>
            <w:top w:val="none" w:sz="0" w:space="0" w:color="auto"/>
            <w:left w:val="none" w:sz="0" w:space="0" w:color="auto"/>
            <w:bottom w:val="none" w:sz="0" w:space="0" w:color="auto"/>
            <w:right w:val="none" w:sz="0" w:space="0" w:color="auto"/>
          </w:divBdr>
        </w:div>
        <w:div w:id="725837710">
          <w:marLeft w:val="547"/>
          <w:marRight w:val="0"/>
          <w:marTop w:val="0"/>
          <w:marBottom w:val="0"/>
          <w:divBdr>
            <w:top w:val="none" w:sz="0" w:space="0" w:color="auto"/>
            <w:left w:val="none" w:sz="0" w:space="0" w:color="auto"/>
            <w:bottom w:val="none" w:sz="0" w:space="0" w:color="auto"/>
            <w:right w:val="none" w:sz="0" w:space="0" w:color="auto"/>
          </w:divBdr>
        </w:div>
      </w:divsChild>
    </w:div>
    <w:div w:id="1287663728">
      <w:bodyDiv w:val="1"/>
      <w:marLeft w:val="0"/>
      <w:marRight w:val="0"/>
      <w:marTop w:val="0"/>
      <w:marBottom w:val="0"/>
      <w:divBdr>
        <w:top w:val="none" w:sz="0" w:space="0" w:color="auto"/>
        <w:left w:val="none" w:sz="0" w:space="0" w:color="auto"/>
        <w:bottom w:val="none" w:sz="0" w:space="0" w:color="auto"/>
        <w:right w:val="none" w:sz="0" w:space="0" w:color="auto"/>
      </w:divBdr>
    </w:div>
    <w:div w:id="1302804017">
      <w:bodyDiv w:val="1"/>
      <w:marLeft w:val="0"/>
      <w:marRight w:val="0"/>
      <w:marTop w:val="0"/>
      <w:marBottom w:val="0"/>
      <w:divBdr>
        <w:top w:val="none" w:sz="0" w:space="0" w:color="auto"/>
        <w:left w:val="none" w:sz="0" w:space="0" w:color="auto"/>
        <w:bottom w:val="none" w:sz="0" w:space="0" w:color="auto"/>
        <w:right w:val="none" w:sz="0" w:space="0" w:color="auto"/>
      </w:divBdr>
      <w:divsChild>
        <w:div w:id="263809973">
          <w:marLeft w:val="547"/>
          <w:marRight w:val="0"/>
          <w:marTop w:val="0"/>
          <w:marBottom w:val="0"/>
          <w:divBdr>
            <w:top w:val="none" w:sz="0" w:space="0" w:color="auto"/>
            <w:left w:val="none" w:sz="0" w:space="0" w:color="auto"/>
            <w:bottom w:val="none" w:sz="0" w:space="0" w:color="auto"/>
            <w:right w:val="none" w:sz="0" w:space="0" w:color="auto"/>
          </w:divBdr>
        </w:div>
        <w:div w:id="464279754">
          <w:marLeft w:val="547"/>
          <w:marRight w:val="0"/>
          <w:marTop w:val="0"/>
          <w:marBottom w:val="0"/>
          <w:divBdr>
            <w:top w:val="none" w:sz="0" w:space="0" w:color="auto"/>
            <w:left w:val="none" w:sz="0" w:space="0" w:color="auto"/>
            <w:bottom w:val="none" w:sz="0" w:space="0" w:color="auto"/>
            <w:right w:val="none" w:sz="0" w:space="0" w:color="auto"/>
          </w:divBdr>
        </w:div>
        <w:div w:id="596600592">
          <w:marLeft w:val="1166"/>
          <w:marRight w:val="0"/>
          <w:marTop w:val="0"/>
          <w:marBottom w:val="0"/>
          <w:divBdr>
            <w:top w:val="none" w:sz="0" w:space="0" w:color="auto"/>
            <w:left w:val="none" w:sz="0" w:space="0" w:color="auto"/>
            <w:bottom w:val="none" w:sz="0" w:space="0" w:color="auto"/>
            <w:right w:val="none" w:sz="0" w:space="0" w:color="auto"/>
          </w:divBdr>
        </w:div>
        <w:div w:id="713622392">
          <w:marLeft w:val="1166"/>
          <w:marRight w:val="0"/>
          <w:marTop w:val="0"/>
          <w:marBottom w:val="0"/>
          <w:divBdr>
            <w:top w:val="none" w:sz="0" w:space="0" w:color="auto"/>
            <w:left w:val="none" w:sz="0" w:space="0" w:color="auto"/>
            <w:bottom w:val="none" w:sz="0" w:space="0" w:color="auto"/>
            <w:right w:val="none" w:sz="0" w:space="0" w:color="auto"/>
          </w:divBdr>
        </w:div>
        <w:div w:id="1539852178">
          <w:marLeft w:val="1166"/>
          <w:marRight w:val="0"/>
          <w:marTop w:val="0"/>
          <w:marBottom w:val="0"/>
          <w:divBdr>
            <w:top w:val="none" w:sz="0" w:space="0" w:color="auto"/>
            <w:left w:val="none" w:sz="0" w:space="0" w:color="auto"/>
            <w:bottom w:val="none" w:sz="0" w:space="0" w:color="auto"/>
            <w:right w:val="none" w:sz="0" w:space="0" w:color="auto"/>
          </w:divBdr>
        </w:div>
        <w:div w:id="1920946738">
          <w:marLeft w:val="547"/>
          <w:marRight w:val="0"/>
          <w:marTop w:val="0"/>
          <w:marBottom w:val="0"/>
          <w:divBdr>
            <w:top w:val="none" w:sz="0" w:space="0" w:color="auto"/>
            <w:left w:val="none" w:sz="0" w:space="0" w:color="auto"/>
            <w:bottom w:val="none" w:sz="0" w:space="0" w:color="auto"/>
            <w:right w:val="none" w:sz="0" w:space="0" w:color="auto"/>
          </w:divBdr>
        </w:div>
        <w:div w:id="2095324303">
          <w:marLeft w:val="547"/>
          <w:marRight w:val="0"/>
          <w:marTop w:val="0"/>
          <w:marBottom w:val="0"/>
          <w:divBdr>
            <w:top w:val="none" w:sz="0" w:space="0" w:color="auto"/>
            <w:left w:val="none" w:sz="0" w:space="0" w:color="auto"/>
            <w:bottom w:val="none" w:sz="0" w:space="0" w:color="auto"/>
            <w:right w:val="none" w:sz="0" w:space="0" w:color="auto"/>
          </w:divBdr>
        </w:div>
      </w:divsChild>
    </w:div>
    <w:div w:id="1372075003">
      <w:bodyDiv w:val="1"/>
      <w:marLeft w:val="0"/>
      <w:marRight w:val="0"/>
      <w:marTop w:val="0"/>
      <w:marBottom w:val="0"/>
      <w:divBdr>
        <w:top w:val="none" w:sz="0" w:space="0" w:color="auto"/>
        <w:left w:val="none" w:sz="0" w:space="0" w:color="auto"/>
        <w:bottom w:val="none" w:sz="0" w:space="0" w:color="auto"/>
        <w:right w:val="none" w:sz="0" w:space="0" w:color="auto"/>
      </w:divBdr>
    </w:div>
    <w:div w:id="142129139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525483157">
      <w:bodyDiv w:val="1"/>
      <w:marLeft w:val="0"/>
      <w:marRight w:val="0"/>
      <w:marTop w:val="0"/>
      <w:marBottom w:val="0"/>
      <w:divBdr>
        <w:top w:val="none" w:sz="0" w:space="0" w:color="auto"/>
        <w:left w:val="none" w:sz="0" w:space="0" w:color="auto"/>
        <w:bottom w:val="none" w:sz="0" w:space="0" w:color="auto"/>
        <w:right w:val="none" w:sz="0" w:space="0" w:color="auto"/>
      </w:divBdr>
    </w:div>
    <w:div w:id="1545823478">
      <w:bodyDiv w:val="1"/>
      <w:marLeft w:val="0"/>
      <w:marRight w:val="0"/>
      <w:marTop w:val="0"/>
      <w:marBottom w:val="0"/>
      <w:divBdr>
        <w:top w:val="none" w:sz="0" w:space="0" w:color="auto"/>
        <w:left w:val="none" w:sz="0" w:space="0" w:color="auto"/>
        <w:bottom w:val="none" w:sz="0" w:space="0" w:color="auto"/>
        <w:right w:val="none" w:sz="0" w:space="0" w:color="auto"/>
      </w:divBdr>
      <w:divsChild>
        <w:div w:id="913319080">
          <w:marLeft w:val="44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98754249">
      <w:bodyDiv w:val="1"/>
      <w:marLeft w:val="0"/>
      <w:marRight w:val="0"/>
      <w:marTop w:val="0"/>
      <w:marBottom w:val="0"/>
      <w:divBdr>
        <w:top w:val="none" w:sz="0" w:space="0" w:color="auto"/>
        <w:left w:val="none" w:sz="0" w:space="0" w:color="auto"/>
        <w:bottom w:val="none" w:sz="0" w:space="0" w:color="auto"/>
        <w:right w:val="none" w:sz="0" w:space="0" w:color="auto"/>
      </w:divBdr>
      <w:divsChild>
        <w:div w:id="6493603">
          <w:marLeft w:val="547"/>
          <w:marRight w:val="0"/>
          <w:marTop w:val="0"/>
          <w:marBottom w:val="0"/>
          <w:divBdr>
            <w:top w:val="none" w:sz="0" w:space="0" w:color="auto"/>
            <w:left w:val="none" w:sz="0" w:space="0" w:color="auto"/>
            <w:bottom w:val="none" w:sz="0" w:space="0" w:color="auto"/>
            <w:right w:val="none" w:sz="0" w:space="0" w:color="auto"/>
          </w:divBdr>
        </w:div>
        <w:div w:id="26375333">
          <w:marLeft w:val="547"/>
          <w:marRight w:val="0"/>
          <w:marTop w:val="0"/>
          <w:marBottom w:val="0"/>
          <w:divBdr>
            <w:top w:val="none" w:sz="0" w:space="0" w:color="auto"/>
            <w:left w:val="none" w:sz="0" w:space="0" w:color="auto"/>
            <w:bottom w:val="none" w:sz="0" w:space="0" w:color="auto"/>
            <w:right w:val="none" w:sz="0" w:space="0" w:color="auto"/>
          </w:divBdr>
        </w:div>
        <w:div w:id="39398830">
          <w:marLeft w:val="547"/>
          <w:marRight w:val="0"/>
          <w:marTop w:val="0"/>
          <w:marBottom w:val="0"/>
          <w:divBdr>
            <w:top w:val="none" w:sz="0" w:space="0" w:color="auto"/>
            <w:left w:val="none" w:sz="0" w:space="0" w:color="auto"/>
            <w:bottom w:val="none" w:sz="0" w:space="0" w:color="auto"/>
            <w:right w:val="none" w:sz="0" w:space="0" w:color="auto"/>
          </w:divBdr>
        </w:div>
        <w:div w:id="232664938">
          <w:marLeft w:val="547"/>
          <w:marRight w:val="0"/>
          <w:marTop w:val="0"/>
          <w:marBottom w:val="0"/>
          <w:divBdr>
            <w:top w:val="none" w:sz="0" w:space="0" w:color="auto"/>
            <w:left w:val="none" w:sz="0" w:space="0" w:color="auto"/>
            <w:bottom w:val="none" w:sz="0" w:space="0" w:color="auto"/>
            <w:right w:val="none" w:sz="0" w:space="0" w:color="auto"/>
          </w:divBdr>
        </w:div>
        <w:div w:id="1284581371">
          <w:marLeft w:val="547"/>
          <w:marRight w:val="0"/>
          <w:marTop w:val="0"/>
          <w:marBottom w:val="0"/>
          <w:divBdr>
            <w:top w:val="none" w:sz="0" w:space="0" w:color="auto"/>
            <w:left w:val="none" w:sz="0" w:space="0" w:color="auto"/>
            <w:bottom w:val="none" w:sz="0" w:space="0" w:color="auto"/>
            <w:right w:val="none" w:sz="0" w:space="0" w:color="auto"/>
          </w:divBdr>
        </w:div>
        <w:div w:id="1312977493">
          <w:marLeft w:val="907"/>
          <w:marRight w:val="0"/>
          <w:marTop w:val="0"/>
          <w:marBottom w:val="0"/>
          <w:divBdr>
            <w:top w:val="none" w:sz="0" w:space="0" w:color="auto"/>
            <w:left w:val="none" w:sz="0" w:space="0" w:color="auto"/>
            <w:bottom w:val="none" w:sz="0" w:space="0" w:color="auto"/>
            <w:right w:val="none" w:sz="0" w:space="0" w:color="auto"/>
          </w:divBdr>
        </w:div>
        <w:div w:id="1425760267">
          <w:marLeft w:val="547"/>
          <w:marRight w:val="0"/>
          <w:marTop w:val="0"/>
          <w:marBottom w:val="0"/>
          <w:divBdr>
            <w:top w:val="none" w:sz="0" w:space="0" w:color="auto"/>
            <w:left w:val="none" w:sz="0" w:space="0" w:color="auto"/>
            <w:bottom w:val="none" w:sz="0" w:space="0" w:color="auto"/>
            <w:right w:val="none" w:sz="0" w:space="0" w:color="auto"/>
          </w:divBdr>
        </w:div>
        <w:div w:id="1492330563">
          <w:marLeft w:val="547"/>
          <w:marRight w:val="0"/>
          <w:marTop w:val="0"/>
          <w:marBottom w:val="0"/>
          <w:divBdr>
            <w:top w:val="none" w:sz="0" w:space="0" w:color="auto"/>
            <w:left w:val="none" w:sz="0" w:space="0" w:color="auto"/>
            <w:bottom w:val="none" w:sz="0" w:space="0" w:color="auto"/>
            <w:right w:val="none" w:sz="0" w:space="0" w:color="auto"/>
          </w:divBdr>
        </w:div>
        <w:div w:id="2049721613">
          <w:marLeft w:val="547"/>
          <w:marRight w:val="0"/>
          <w:marTop w:val="0"/>
          <w:marBottom w:val="0"/>
          <w:divBdr>
            <w:top w:val="none" w:sz="0" w:space="0" w:color="auto"/>
            <w:left w:val="none" w:sz="0" w:space="0" w:color="auto"/>
            <w:bottom w:val="none" w:sz="0" w:space="0" w:color="auto"/>
            <w:right w:val="none" w:sz="0" w:space="0" w:color="auto"/>
          </w:divBdr>
        </w:div>
      </w:divsChild>
    </w:div>
    <w:div w:id="1608849397">
      <w:bodyDiv w:val="1"/>
      <w:marLeft w:val="0"/>
      <w:marRight w:val="0"/>
      <w:marTop w:val="0"/>
      <w:marBottom w:val="0"/>
      <w:divBdr>
        <w:top w:val="none" w:sz="0" w:space="0" w:color="auto"/>
        <w:left w:val="none" w:sz="0" w:space="0" w:color="auto"/>
        <w:bottom w:val="none" w:sz="0" w:space="0" w:color="auto"/>
        <w:right w:val="none" w:sz="0" w:space="0" w:color="auto"/>
      </w:divBdr>
      <w:divsChild>
        <w:div w:id="267005945">
          <w:marLeft w:val="1166"/>
          <w:marRight w:val="0"/>
          <w:marTop w:val="0"/>
          <w:marBottom w:val="0"/>
          <w:divBdr>
            <w:top w:val="none" w:sz="0" w:space="0" w:color="auto"/>
            <w:left w:val="none" w:sz="0" w:space="0" w:color="auto"/>
            <w:bottom w:val="none" w:sz="0" w:space="0" w:color="auto"/>
            <w:right w:val="none" w:sz="0" w:space="0" w:color="auto"/>
          </w:divBdr>
        </w:div>
        <w:div w:id="861284721">
          <w:marLeft w:val="547"/>
          <w:marRight w:val="0"/>
          <w:marTop w:val="0"/>
          <w:marBottom w:val="0"/>
          <w:divBdr>
            <w:top w:val="none" w:sz="0" w:space="0" w:color="auto"/>
            <w:left w:val="none" w:sz="0" w:space="0" w:color="auto"/>
            <w:bottom w:val="none" w:sz="0" w:space="0" w:color="auto"/>
            <w:right w:val="none" w:sz="0" w:space="0" w:color="auto"/>
          </w:divBdr>
        </w:div>
        <w:div w:id="985939089">
          <w:marLeft w:val="1166"/>
          <w:marRight w:val="0"/>
          <w:marTop w:val="0"/>
          <w:marBottom w:val="0"/>
          <w:divBdr>
            <w:top w:val="none" w:sz="0" w:space="0" w:color="auto"/>
            <w:left w:val="none" w:sz="0" w:space="0" w:color="auto"/>
            <w:bottom w:val="none" w:sz="0" w:space="0" w:color="auto"/>
            <w:right w:val="none" w:sz="0" w:space="0" w:color="auto"/>
          </w:divBdr>
        </w:div>
        <w:div w:id="1007362568">
          <w:marLeft w:val="1166"/>
          <w:marRight w:val="0"/>
          <w:marTop w:val="0"/>
          <w:marBottom w:val="0"/>
          <w:divBdr>
            <w:top w:val="none" w:sz="0" w:space="0" w:color="auto"/>
            <w:left w:val="none" w:sz="0" w:space="0" w:color="auto"/>
            <w:bottom w:val="none" w:sz="0" w:space="0" w:color="auto"/>
            <w:right w:val="none" w:sz="0" w:space="0" w:color="auto"/>
          </w:divBdr>
        </w:div>
        <w:div w:id="1046955652">
          <w:marLeft w:val="547"/>
          <w:marRight w:val="0"/>
          <w:marTop w:val="0"/>
          <w:marBottom w:val="0"/>
          <w:divBdr>
            <w:top w:val="none" w:sz="0" w:space="0" w:color="auto"/>
            <w:left w:val="none" w:sz="0" w:space="0" w:color="auto"/>
            <w:bottom w:val="none" w:sz="0" w:space="0" w:color="auto"/>
            <w:right w:val="none" w:sz="0" w:space="0" w:color="auto"/>
          </w:divBdr>
        </w:div>
        <w:div w:id="1890023151">
          <w:marLeft w:val="1800"/>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80039000">
      <w:bodyDiv w:val="1"/>
      <w:marLeft w:val="0"/>
      <w:marRight w:val="0"/>
      <w:marTop w:val="0"/>
      <w:marBottom w:val="0"/>
      <w:divBdr>
        <w:top w:val="none" w:sz="0" w:space="0" w:color="auto"/>
        <w:left w:val="none" w:sz="0" w:space="0" w:color="auto"/>
        <w:bottom w:val="none" w:sz="0" w:space="0" w:color="auto"/>
        <w:right w:val="none" w:sz="0" w:space="0" w:color="auto"/>
      </w:divBdr>
    </w:div>
    <w:div w:id="1684163567">
      <w:bodyDiv w:val="1"/>
      <w:marLeft w:val="0"/>
      <w:marRight w:val="0"/>
      <w:marTop w:val="0"/>
      <w:marBottom w:val="0"/>
      <w:divBdr>
        <w:top w:val="none" w:sz="0" w:space="0" w:color="auto"/>
        <w:left w:val="none" w:sz="0" w:space="0" w:color="auto"/>
        <w:bottom w:val="none" w:sz="0" w:space="0" w:color="auto"/>
        <w:right w:val="none" w:sz="0" w:space="0" w:color="auto"/>
      </w:divBdr>
      <w:divsChild>
        <w:div w:id="966275582">
          <w:marLeft w:val="1166"/>
          <w:marRight w:val="0"/>
          <w:marTop w:val="0"/>
          <w:marBottom w:val="120"/>
          <w:divBdr>
            <w:top w:val="none" w:sz="0" w:space="0" w:color="auto"/>
            <w:left w:val="none" w:sz="0" w:space="0" w:color="auto"/>
            <w:bottom w:val="none" w:sz="0" w:space="0" w:color="auto"/>
            <w:right w:val="none" w:sz="0" w:space="0" w:color="auto"/>
          </w:divBdr>
        </w:div>
        <w:div w:id="1513564072">
          <w:marLeft w:val="1166"/>
          <w:marRight w:val="0"/>
          <w:marTop w:val="0"/>
          <w:marBottom w:val="120"/>
          <w:divBdr>
            <w:top w:val="none" w:sz="0" w:space="0" w:color="auto"/>
            <w:left w:val="none" w:sz="0" w:space="0" w:color="auto"/>
            <w:bottom w:val="none" w:sz="0" w:space="0" w:color="auto"/>
            <w:right w:val="none" w:sz="0" w:space="0" w:color="auto"/>
          </w:divBdr>
        </w:div>
        <w:div w:id="1728142438">
          <w:marLeft w:val="1166"/>
          <w:marRight w:val="0"/>
          <w:marTop w:val="0"/>
          <w:marBottom w:val="120"/>
          <w:divBdr>
            <w:top w:val="none" w:sz="0" w:space="0" w:color="auto"/>
            <w:left w:val="none" w:sz="0" w:space="0" w:color="auto"/>
            <w:bottom w:val="none" w:sz="0" w:space="0" w:color="auto"/>
            <w:right w:val="none" w:sz="0" w:space="0" w:color="auto"/>
          </w:divBdr>
        </w:div>
      </w:divsChild>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6246933">
      <w:bodyDiv w:val="1"/>
      <w:marLeft w:val="0"/>
      <w:marRight w:val="0"/>
      <w:marTop w:val="0"/>
      <w:marBottom w:val="0"/>
      <w:divBdr>
        <w:top w:val="none" w:sz="0" w:space="0" w:color="auto"/>
        <w:left w:val="none" w:sz="0" w:space="0" w:color="auto"/>
        <w:bottom w:val="none" w:sz="0" w:space="0" w:color="auto"/>
        <w:right w:val="none" w:sz="0" w:space="0" w:color="auto"/>
      </w:divBdr>
      <w:divsChild>
        <w:div w:id="220361431">
          <w:marLeft w:val="547"/>
          <w:marRight w:val="0"/>
          <w:marTop w:val="0"/>
          <w:marBottom w:val="0"/>
          <w:divBdr>
            <w:top w:val="none" w:sz="0" w:space="0" w:color="auto"/>
            <w:left w:val="none" w:sz="0" w:space="0" w:color="auto"/>
            <w:bottom w:val="none" w:sz="0" w:space="0" w:color="auto"/>
            <w:right w:val="none" w:sz="0" w:space="0" w:color="auto"/>
          </w:divBdr>
        </w:div>
        <w:div w:id="254829312">
          <w:marLeft w:val="547"/>
          <w:marRight w:val="0"/>
          <w:marTop w:val="0"/>
          <w:marBottom w:val="0"/>
          <w:divBdr>
            <w:top w:val="none" w:sz="0" w:space="0" w:color="auto"/>
            <w:left w:val="none" w:sz="0" w:space="0" w:color="auto"/>
            <w:bottom w:val="none" w:sz="0" w:space="0" w:color="auto"/>
            <w:right w:val="none" w:sz="0" w:space="0" w:color="auto"/>
          </w:divBdr>
        </w:div>
        <w:div w:id="539587342">
          <w:marLeft w:val="1166"/>
          <w:marRight w:val="0"/>
          <w:marTop w:val="0"/>
          <w:marBottom w:val="0"/>
          <w:divBdr>
            <w:top w:val="none" w:sz="0" w:space="0" w:color="auto"/>
            <w:left w:val="none" w:sz="0" w:space="0" w:color="auto"/>
            <w:bottom w:val="none" w:sz="0" w:space="0" w:color="auto"/>
            <w:right w:val="none" w:sz="0" w:space="0" w:color="auto"/>
          </w:divBdr>
        </w:div>
        <w:div w:id="785151617">
          <w:marLeft w:val="1166"/>
          <w:marRight w:val="0"/>
          <w:marTop w:val="0"/>
          <w:marBottom w:val="0"/>
          <w:divBdr>
            <w:top w:val="none" w:sz="0" w:space="0" w:color="auto"/>
            <w:left w:val="none" w:sz="0" w:space="0" w:color="auto"/>
            <w:bottom w:val="none" w:sz="0" w:space="0" w:color="auto"/>
            <w:right w:val="none" w:sz="0" w:space="0" w:color="auto"/>
          </w:divBdr>
        </w:div>
        <w:div w:id="804814080">
          <w:marLeft w:val="547"/>
          <w:marRight w:val="0"/>
          <w:marTop w:val="0"/>
          <w:marBottom w:val="0"/>
          <w:divBdr>
            <w:top w:val="none" w:sz="0" w:space="0" w:color="auto"/>
            <w:left w:val="none" w:sz="0" w:space="0" w:color="auto"/>
            <w:bottom w:val="none" w:sz="0" w:space="0" w:color="auto"/>
            <w:right w:val="none" w:sz="0" w:space="0" w:color="auto"/>
          </w:divBdr>
        </w:div>
        <w:div w:id="1918512270">
          <w:marLeft w:val="547"/>
          <w:marRight w:val="0"/>
          <w:marTop w:val="0"/>
          <w:marBottom w:val="0"/>
          <w:divBdr>
            <w:top w:val="none" w:sz="0" w:space="0" w:color="auto"/>
            <w:left w:val="none" w:sz="0" w:space="0" w:color="auto"/>
            <w:bottom w:val="none" w:sz="0" w:space="0" w:color="auto"/>
            <w:right w:val="none" w:sz="0" w:space="0" w:color="auto"/>
          </w:divBdr>
        </w:div>
        <w:div w:id="2047169124">
          <w:marLeft w:val="547"/>
          <w:marRight w:val="0"/>
          <w:marTop w:val="0"/>
          <w:marBottom w:val="0"/>
          <w:divBdr>
            <w:top w:val="none" w:sz="0" w:space="0" w:color="auto"/>
            <w:left w:val="none" w:sz="0" w:space="0" w:color="auto"/>
            <w:bottom w:val="none" w:sz="0" w:space="0" w:color="auto"/>
            <w:right w:val="none" w:sz="0" w:space="0" w:color="auto"/>
          </w:divBdr>
        </w:div>
      </w:divsChild>
    </w:div>
    <w:div w:id="1835339833">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7212751">
      <w:bodyDiv w:val="1"/>
      <w:marLeft w:val="0"/>
      <w:marRight w:val="0"/>
      <w:marTop w:val="0"/>
      <w:marBottom w:val="0"/>
      <w:divBdr>
        <w:top w:val="none" w:sz="0" w:space="0" w:color="auto"/>
        <w:left w:val="none" w:sz="0" w:space="0" w:color="auto"/>
        <w:bottom w:val="none" w:sz="0" w:space="0" w:color="auto"/>
        <w:right w:val="none" w:sz="0" w:space="0" w:color="auto"/>
      </w:divBdr>
      <w:divsChild>
        <w:div w:id="90593072">
          <w:marLeft w:val="1282"/>
          <w:marRight w:val="0"/>
          <w:marTop w:val="0"/>
          <w:marBottom w:val="120"/>
          <w:divBdr>
            <w:top w:val="none" w:sz="0" w:space="0" w:color="auto"/>
            <w:left w:val="none" w:sz="0" w:space="0" w:color="auto"/>
            <w:bottom w:val="none" w:sz="0" w:space="0" w:color="auto"/>
            <w:right w:val="none" w:sz="0" w:space="0" w:color="auto"/>
          </w:divBdr>
        </w:div>
        <w:div w:id="248271233">
          <w:marLeft w:val="1282"/>
          <w:marRight w:val="0"/>
          <w:marTop w:val="0"/>
          <w:marBottom w:val="120"/>
          <w:divBdr>
            <w:top w:val="none" w:sz="0" w:space="0" w:color="auto"/>
            <w:left w:val="none" w:sz="0" w:space="0" w:color="auto"/>
            <w:bottom w:val="none" w:sz="0" w:space="0" w:color="auto"/>
            <w:right w:val="none" w:sz="0" w:space="0" w:color="auto"/>
          </w:divBdr>
        </w:div>
        <w:div w:id="354119868">
          <w:marLeft w:val="1282"/>
          <w:marRight w:val="0"/>
          <w:marTop w:val="0"/>
          <w:marBottom w:val="120"/>
          <w:divBdr>
            <w:top w:val="none" w:sz="0" w:space="0" w:color="auto"/>
            <w:left w:val="none" w:sz="0" w:space="0" w:color="auto"/>
            <w:bottom w:val="none" w:sz="0" w:space="0" w:color="auto"/>
            <w:right w:val="none" w:sz="0" w:space="0" w:color="auto"/>
          </w:divBdr>
        </w:div>
        <w:div w:id="880246373">
          <w:marLeft w:val="1282"/>
          <w:marRight w:val="0"/>
          <w:marTop w:val="0"/>
          <w:marBottom w:val="120"/>
          <w:divBdr>
            <w:top w:val="none" w:sz="0" w:space="0" w:color="auto"/>
            <w:left w:val="none" w:sz="0" w:space="0" w:color="auto"/>
            <w:bottom w:val="none" w:sz="0" w:space="0" w:color="auto"/>
            <w:right w:val="none" w:sz="0" w:space="0" w:color="auto"/>
          </w:divBdr>
        </w:div>
      </w:divsChild>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6623125">
      <w:bodyDiv w:val="1"/>
      <w:marLeft w:val="0"/>
      <w:marRight w:val="0"/>
      <w:marTop w:val="0"/>
      <w:marBottom w:val="0"/>
      <w:divBdr>
        <w:top w:val="none" w:sz="0" w:space="0" w:color="auto"/>
        <w:left w:val="none" w:sz="0" w:space="0" w:color="auto"/>
        <w:bottom w:val="none" w:sz="0" w:space="0" w:color="auto"/>
        <w:right w:val="none" w:sz="0" w:space="0" w:color="auto"/>
      </w:divBdr>
      <w:divsChild>
        <w:div w:id="352390611">
          <w:marLeft w:val="360"/>
          <w:marRight w:val="0"/>
          <w:marTop w:val="0"/>
          <w:marBottom w:val="0"/>
          <w:divBdr>
            <w:top w:val="none" w:sz="0" w:space="0" w:color="auto"/>
            <w:left w:val="none" w:sz="0" w:space="0" w:color="auto"/>
            <w:bottom w:val="none" w:sz="0" w:space="0" w:color="auto"/>
            <w:right w:val="none" w:sz="0" w:space="0" w:color="auto"/>
          </w:divBdr>
        </w:div>
        <w:div w:id="1157649297">
          <w:marLeft w:val="547"/>
          <w:marRight w:val="0"/>
          <w:marTop w:val="0"/>
          <w:marBottom w:val="0"/>
          <w:divBdr>
            <w:top w:val="none" w:sz="0" w:space="0" w:color="auto"/>
            <w:left w:val="none" w:sz="0" w:space="0" w:color="auto"/>
            <w:bottom w:val="none" w:sz="0" w:space="0" w:color="auto"/>
            <w:right w:val="none" w:sz="0" w:space="0" w:color="auto"/>
          </w:divBdr>
        </w:div>
        <w:div w:id="1251894703">
          <w:marLeft w:val="547"/>
          <w:marRight w:val="0"/>
          <w:marTop w:val="0"/>
          <w:marBottom w:val="0"/>
          <w:divBdr>
            <w:top w:val="none" w:sz="0" w:space="0" w:color="auto"/>
            <w:left w:val="none" w:sz="0" w:space="0" w:color="auto"/>
            <w:bottom w:val="none" w:sz="0" w:space="0" w:color="auto"/>
            <w:right w:val="none" w:sz="0" w:space="0" w:color="auto"/>
          </w:divBdr>
        </w:div>
      </w:divsChild>
    </w:div>
    <w:div w:id="1919170059">
      <w:bodyDiv w:val="1"/>
      <w:marLeft w:val="0"/>
      <w:marRight w:val="0"/>
      <w:marTop w:val="0"/>
      <w:marBottom w:val="0"/>
      <w:divBdr>
        <w:top w:val="none" w:sz="0" w:space="0" w:color="auto"/>
        <w:left w:val="none" w:sz="0" w:space="0" w:color="auto"/>
        <w:bottom w:val="none" w:sz="0" w:space="0" w:color="auto"/>
        <w:right w:val="none" w:sz="0" w:space="0" w:color="auto"/>
      </w:divBdr>
    </w:div>
    <w:div w:id="1947078357">
      <w:bodyDiv w:val="1"/>
      <w:marLeft w:val="0"/>
      <w:marRight w:val="0"/>
      <w:marTop w:val="0"/>
      <w:marBottom w:val="0"/>
      <w:divBdr>
        <w:top w:val="none" w:sz="0" w:space="0" w:color="auto"/>
        <w:left w:val="none" w:sz="0" w:space="0" w:color="auto"/>
        <w:bottom w:val="none" w:sz="0" w:space="0" w:color="auto"/>
        <w:right w:val="none" w:sz="0" w:space="0" w:color="auto"/>
      </w:divBdr>
    </w:div>
    <w:div w:id="196492163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2664622">
      <w:bodyDiv w:val="1"/>
      <w:marLeft w:val="0"/>
      <w:marRight w:val="0"/>
      <w:marTop w:val="0"/>
      <w:marBottom w:val="0"/>
      <w:divBdr>
        <w:top w:val="none" w:sz="0" w:space="0" w:color="auto"/>
        <w:left w:val="none" w:sz="0" w:space="0" w:color="auto"/>
        <w:bottom w:val="none" w:sz="0" w:space="0" w:color="auto"/>
        <w:right w:val="none" w:sz="0" w:space="0" w:color="auto"/>
      </w:divBdr>
      <w:divsChild>
        <w:div w:id="358431387">
          <w:marLeft w:val="806"/>
          <w:marRight w:val="0"/>
          <w:marTop w:val="0"/>
          <w:marBottom w:val="120"/>
          <w:divBdr>
            <w:top w:val="none" w:sz="0" w:space="0" w:color="auto"/>
            <w:left w:val="none" w:sz="0" w:space="0" w:color="auto"/>
            <w:bottom w:val="none" w:sz="0" w:space="0" w:color="auto"/>
            <w:right w:val="none" w:sz="0" w:space="0" w:color="auto"/>
          </w:divBdr>
        </w:div>
      </w:divsChild>
    </w:div>
    <w:div w:id="2001808773">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4037384">
      <w:bodyDiv w:val="1"/>
      <w:marLeft w:val="0"/>
      <w:marRight w:val="0"/>
      <w:marTop w:val="0"/>
      <w:marBottom w:val="0"/>
      <w:divBdr>
        <w:top w:val="none" w:sz="0" w:space="0" w:color="auto"/>
        <w:left w:val="none" w:sz="0" w:space="0" w:color="auto"/>
        <w:bottom w:val="none" w:sz="0" w:space="0" w:color="auto"/>
        <w:right w:val="none" w:sz="0" w:space="0" w:color="auto"/>
      </w:divBdr>
    </w:div>
    <w:div w:id="2058966265">
      <w:bodyDiv w:val="1"/>
      <w:marLeft w:val="0"/>
      <w:marRight w:val="0"/>
      <w:marTop w:val="0"/>
      <w:marBottom w:val="0"/>
      <w:divBdr>
        <w:top w:val="none" w:sz="0" w:space="0" w:color="auto"/>
        <w:left w:val="none" w:sz="0" w:space="0" w:color="auto"/>
        <w:bottom w:val="none" w:sz="0" w:space="0" w:color="auto"/>
        <w:right w:val="none" w:sz="0" w:space="0" w:color="auto"/>
      </w:divBdr>
    </w:div>
    <w:div w:id="20942065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1048648">
      <w:bodyDiv w:val="1"/>
      <w:marLeft w:val="0"/>
      <w:marRight w:val="0"/>
      <w:marTop w:val="0"/>
      <w:marBottom w:val="0"/>
      <w:divBdr>
        <w:top w:val="none" w:sz="0" w:space="0" w:color="auto"/>
        <w:left w:val="none" w:sz="0" w:space="0" w:color="auto"/>
        <w:bottom w:val="none" w:sz="0" w:space="0" w:color="auto"/>
        <w:right w:val="none" w:sz="0" w:space="0" w:color="auto"/>
      </w:divBdr>
    </w:div>
    <w:div w:id="2119443859">
      <w:bodyDiv w:val="1"/>
      <w:marLeft w:val="0"/>
      <w:marRight w:val="0"/>
      <w:marTop w:val="0"/>
      <w:marBottom w:val="0"/>
      <w:divBdr>
        <w:top w:val="none" w:sz="0" w:space="0" w:color="auto"/>
        <w:left w:val="none" w:sz="0" w:space="0" w:color="auto"/>
        <w:bottom w:val="none" w:sz="0" w:space="0" w:color="auto"/>
        <w:right w:val="none" w:sz="0" w:space="0" w:color="auto"/>
      </w:divBdr>
    </w:div>
    <w:div w:id="2138063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5AIRPNAIUNRU-1830940522-4047</_dlc_DocId>
    <_dlc_DocIdUrl xmlns="71c5aaf6-e6ce-465b-b873-5148d2a4c105">
      <Url>https://nokia.sharepoint.com/sites/c5g/5gradio/_layouts/15/DocIdRedir.aspx?ID=5AIRPNAIUNRU-1830940522-4047</Url>
      <Description>5AIRPNAIUNRU-1830940522-4047</Description>
    </_dlc_DocIdUrl>
    <Information xmlns="3b34c8f0-1ef5-4d1e-bb66-517ce7fe7356" xsi:nil="true"/>
    <Associated_x0020_Task xmlns="3b34c8f0-1ef5-4d1e-bb66-517ce7fe7356"/>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7BE386-894B-4EAC-BDBB-8B2CA5FEB690}">
  <ds:schemaRefs>
    <ds:schemaRef ds:uri="http://schemas.microsoft.com/sharepoint/events"/>
  </ds:schemaRefs>
</ds:datastoreItem>
</file>

<file path=customXml/itemProps2.xml><?xml version="1.0" encoding="utf-8"?>
<ds:datastoreItem xmlns:ds="http://schemas.openxmlformats.org/officeDocument/2006/customXml" ds:itemID="{1369D201-B2C2-4DC8-A98A-70B6E586961D}">
  <ds:schemaRefs>
    <ds:schemaRef ds:uri="Microsoft.SharePoint.Taxonomy.ContentTypeSync"/>
  </ds:schemaRefs>
</ds:datastoreItem>
</file>

<file path=customXml/itemProps3.xml><?xml version="1.0" encoding="utf-8"?>
<ds:datastoreItem xmlns:ds="http://schemas.openxmlformats.org/officeDocument/2006/customXml" ds:itemID="{386A79E2-67E1-4C0F-A0B9-760CAC05E0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71c5aaf6-e6ce-465b-b873-5148d2a4c105"/>
    <ds:schemaRef ds:uri="95d2e41d-1f11-4347-bb1c-11d6a32975dd"/>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ebabf6ce-2443-438c-9946-ecc878e7654a"/>
    <ds:schemaRef ds:uri="3b34c8f0-1ef5-4d1e-bb66-517ce7fe7356"/>
    <ds:schemaRef ds:uri="http://www.w3.org/XML/1998/namespace"/>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ED71015A-DCD1-4BB6-82D1-CA4463CA9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TotalTime>
  <Pages>17</Pages>
  <Words>6080</Words>
  <Characters>49252</Characters>
  <Application>Microsoft Office Word</Application>
  <DocSecurity>0</DocSecurity>
  <Lines>410</Lines>
  <Paragraphs>110</Paragraphs>
  <ScaleCrop>false</ScaleCrop>
  <HeadingPairs>
    <vt:vector size="4" baseType="variant">
      <vt:variant>
        <vt:lpstr>Title</vt:lpstr>
      </vt:variant>
      <vt:variant>
        <vt:i4>1</vt:i4>
      </vt:variant>
      <vt:variant>
        <vt:lpstr>Headings</vt:lpstr>
      </vt:variant>
      <vt:variant>
        <vt:i4>10</vt:i4>
      </vt:variant>
    </vt:vector>
  </HeadingPairs>
  <TitlesOfParts>
    <vt:vector size="11" baseType="lpstr">
      <vt:lpstr>3GPP Contribution</vt:lpstr>
      <vt:lpstr>1	Introduction</vt:lpstr>
      <vt:lpstr>2	UL waveform and resource allocation in frequency</vt:lpstr>
      <vt:lpstr>3	NR interlace structures</vt:lpstr>
      <vt:lpstr>4. PUCCH Design</vt:lpstr>
      <vt:lpstr>5. PRACH</vt:lpstr>
      <vt:lpstr>5. SRS</vt:lpstr>
      <vt:lpstr>6. Conclusions</vt:lpstr>
      <vt:lpstr>References </vt:lpstr>
      <vt:lpstr>APPENDIX 1</vt:lpstr>
      <vt:lpstr>APPENDIX 2 </vt:lpstr>
    </vt:vector>
  </TitlesOfParts>
  <Company>Nokia &amp; NSN</Company>
  <LinksUpToDate>false</LinksUpToDate>
  <CharactersWithSpaces>55222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Hooli, Kari (Nokia - FI/Oulu)</cp:lastModifiedBy>
  <cp:revision>2</cp:revision>
  <cp:lastPrinted>2016-06-20T11:35:00Z</cp:lastPrinted>
  <dcterms:created xsi:type="dcterms:W3CDTF">2018-09-28T12:50:00Z</dcterms:created>
  <dcterms:modified xsi:type="dcterms:W3CDTF">2018-09-28T12:50:00Z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8e7bd8b2-e733-403b-8c90-0c42877b96db</vt:lpwstr>
  </property>
</Properties>
</file>